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重庆城市综合交通枢纽（集团）有限公司</w:t>
      </w:r>
    </w:p>
    <w:p>
      <w:pPr>
        <w:tabs>
          <w:tab w:val="left" w:pos="-7488"/>
        </w:tabs>
        <w:ind w:right="-57" w:rightChars="-27"/>
        <w:jc w:val="center"/>
        <w:rPr>
          <w:rFonts w:hint="eastAsia" w:ascii="方正小标宋_GBK" w:hAnsi="方正小标宋_GBK" w:eastAsia="方正小标宋_GBK" w:cs="方正小标宋_GBK"/>
          <w:b/>
          <w:bCs/>
          <w:sz w:val="36"/>
          <w:szCs w:val="36"/>
          <w:u w:val="single"/>
        </w:rPr>
      </w:pPr>
      <w:r>
        <w:rPr>
          <w:rFonts w:hint="eastAsia" w:ascii="方正小标宋_GBK" w:hAnsi="方正小标宋_GBK" w:eastAsia="方正小标宋_GBK" w:cs="方正小标宋_GBK"/>
          <w:b/>
          <w:bCs/>
          <w:sz w:val="36"/>
          <w:szCs w:val="36"/>
        </w:rPr>
        <w:t>关于枢纽集团网络信息安全建设项目</w:t>
      </w:r>
    </w:p>
    <w:p>
      <w:pPr>
        <w:tabs>
          <w:tab w:val="left" w:pos="-7488"/>
        </w:tabs>
        <w:ind w:right="611" w:rightChars="291"/>
        <w:jc w:val="center"/>
        <w:rPr>
          <w:rFonts w:hint="eastAsia"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比选文件邀请函</w:t>
      </w:r>
    </w:p>
    <w:p>
      <w:pPr>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受邀单位名称  </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ind w:firstLine="560" w:firstLineChars="200"/>
        <w:jc w:val="left"/>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color w:val="000000" w:themeColor="text1"/>
          <w:sz w:val="28"/>
          <w:szCs w:val="28"/>
          <w14:textFill>
            <w14:solidFill>
              <w14:schemeClr w14:val="tx1"/>
            </w14:solidFill>
          </w14:textFill>
        </w:rPr>
        <w:t>我司拟开展</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枢纽集团网络信息安全建设项目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的比选工作</w:t>
      </w:r>
      <w:r>
        <w:rPr>
          <w:rFonts w:hint="eastAsia" w:ascii="方正仿宋_GBK" w:hAnsi="方正仿宋_GBK" w:eastAsia="方正仿宋_GBK" w:cs="方正仿宋_GBK"/>
          <w:sz w:val="28"/>
          <w:szCs w:val="28"/>
        </w:rPr>
        <w:t>，本次工作实施单位的确定将采用比选方式进行</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欢迎有资格的供应商前来参加</w:t>
      </w:r>
      <w:r>
        <w:rPr>
          <w:rFonts w:hint="eastAsia" w:ascii="方正仿宋_GBK" w:hAnsi="方正仿宋_GBK" w:eastAsia="方正仿宋_GBK" w:cs="方正仿宋_GBK"/>
          <w:sz w:val="28"/>
          <w:szCs w:val="28"/>
          <w:lang w:val="en-US" w:eastAsia="zh-CN"/>
        </w:rPr>
        <w:t>比选</w:t>
      </w:r>
      <w:r>
        <w:rPr>
          <w:rFonts w:hint="eastAsia" w:ascii="方正仿宋_GBK" w:hAnsi="方正仿宋_GBK" w:eastAsia="方正仿宋_GBK" w:cs="方正仿宋_GBK"/>
          <w:sz w:val="28"/>
          <w:szCs w:val="28"/>
          <w:lang w:eastAsia="zh-CN"/>
        </w:rPr>
        <w:t>。</w:t>
      </w:r>
    </w:p>
    <w:p>
      <w:pPr>
        <w:ind w:firstLine="560" w:firstLineChars="200"/>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具体项目情况如下：</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9"/>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一、项目概况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项目名称</w:t>
            </w:r>
          </w:p>
        </w:tc>
        <w:tc>
          <w:tcPr>
            <w:tcW w:w="3604" w:type="pct"/>
            <w:vAlign w:val="center"/>
          </w:tcPr>
          <w:p>
            <w:pPr>
              <w:ind w:firstLine="562"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枢纽集团网络信息安全建设项目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5" w:type="pct"/>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项目投资</w:t>
            </w:r>
          </w:p>
        </w:tc>
        <w:tc>
          <w:tcPr>
            <w:tcW w:w="3604" w:type="pct"/>
            <w:vAlign w:val="center"/>
          </w:tcPr>
          <w:p>
            <w:pPr>
              <w:snapToGrid w:val="0"/>
              <w:spacing w:line="440" w:lineRule="exact"/>
              <w:ind w:firstLine="560" w:firstLineChars="20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本项目设置报价总价限价，限价为</w:t>
            </w:r>
            <w:r>
              <w:rPr>
                <w:rFonts w:hint="eastAsia" w:ascii="方正仿宋_GBK" w:hAnsi="方正仿宋_GBK" w:eastAsia="方正仿宋_GBK" w:cs="方正仿宋_GBK"/>
                <w:color w:val="auto"/>
                <w:sz w:val="28"/>
                <w:szCs w:val="28"/>
                <w:u w:val="none"/>
              </w:rPr>
              <w:t xml:space="preserve"> 955</w:t>
            </w:r>
            <w:r>
              <w:rPr>
                <w:rFonts w:hint="eastAsia" w:ascii="方正仿宋_GBK" w:hAnsi="方正仿宋_GBK" w:eastAsia="方正仿宋_GBK" w:cs="方正仿宋_GBK"/>
                <w:color w:val="auto"/>
                <w:sz w:val="28"/>
                <w:szCs w:val="28"/>
                <w:u w:val="none"/>
                <w:lang w:val="en-US" w:eastAsia="zh-CN"/>
              </w:rPr>
              <w:t>6</w:t>
            </w:r>
            <w:r>
              <w:rPr>
                <w:rFonts w:hint="eastAsia" w:ascii="方正仿宋_GBK" w:hAnsi="方正仿宋_GBK" w:eastAsia="方正仿宋_GBK" w:cs="方正仿宋_GBK"/>
                <w:color w:val="auto"/>
                <w:sz w:val="28"/>
                <w:szCs w:val="28"/>
                <w:u w:val="none"/>
              </w:rPr>
              <w:t>00.00</w:t>
            </w:r>
            <w:r>
              <w:rPr>
                <w:rFonts w:hint="eastAsia" w:ascii="方正仿宋_GBK" w:hAnsi="方正仿宋_GBK" w:eastAsia="方正仿宋_GBK" w:cs="方正仿宋_GBK"/>
                <w:sz w:val="28"/>
                <w:szCs w:val="28"/>
              </w:rPr>
              <w:t>元</w:t>
            </w:r>
            <w:r>
              <w:rPr>
                <w:rFonts w:hint="eastAsia" w:ascii="方正仿宋_GBK" w:hAnsi="方正仿宋_GBK" w:eastAsia="方正仿宋_GBK" w:cs="方正仿宋_GBK"/>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项目具体概况</w:t>
            </w:r>
          </w:p>
        </w:tc>
        <w:tc>
          <w:tcPr>
            <w:tcW w:w="3604" w:type="pct"/>
            <w:vAlign w:val="center"/>
          </w:tcPr>
          <w:p>
            <w:pPr>
              <w:snapToGrid w:val="0"/>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通过网络安全建设，弥补集团网络安全防护短板，构建全方位、全过程的网络安全防护体系，保障集团网络和数据资产的安全性、完整性和可用性，确保各类信息系统和办公电脑在安全的环境下持续、稳定运行，从而实现集团数据资产全生命周期可控、可管，提升集团网络信息安全保障和管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工期</w:t>
            </w:r>
          </w:p>
        </w:tc>
        <w:tc>
          <w:tcPr>
            <w:tcW w:w="3604" w:type="pct"/>
            <w:vAlign w:val="center"/>
          </w:tcPr>
          <w:p>
            <w:pPr>
              <w:snapToGrid w:val="0"/>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建设工期：合同签署</w:t>
            </w:r>
            <w:r>
              <w:rPr>
                <w:rFonts w:hint="eastAsia" w:ascii="方正仿宋_GBK" w:hAnsi="方正仿宋_GBK" w:eastAsia="方正仿宋_GBK" w:cs="方正仿宋_GBK"/>
                <w:sz w:val="28"/>
                <w:szCs w:val="28"/>
                <w:lang w:val="en-US" w:eastAsia="zh-CN"/>
              </w:rPr>
              <w:t>之日起</w:t>
            </w:r>
            <w:r>
              <w:rPr>
                <w:rFonts w:hint="eastAsia" w:ascii="方正仿宋_GBK" w:hAnsi="方正仿宋_GBK" w:eastAsia="方正仿宋_GBK" w:cs="方正仿宋_GBK"/>
                <w:sz w:val="28"/>
                <w:szCs w:val="28"/>
              </w:rPr>
              <w:t>30个工作日内</w:t>
            </w:r>
            <w:r>
              <w:rPr>
                <w:rFonts w:hint="eastAsia" w:ascii="方正仿宋_GBK" w:hAnsi="方正仿宋_GBK" w:eastAsia="方正仿宋_GBK" w:cs="方正仿宋_GBK"/>
                <w:sz w:val="28"/>
                <w:szCs w:val="28"/>
                <w:lang w:val="en-US" w:eastAsia="zh-CN"/>
              </w:rPr>
              <w:t>完成项目建设</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且</w:t>
            </w:r>
            <w:r>
              <w:rPr>
                <w:rFonts w:hint="eastAsia" w:ascii="方正仿宋_GBK" w:hAnsi="方正仿宋_GBK" w:eastAsia="方正仿宋_GBK" w:cs="方正仿宋_GBK"/>
                <w:sz w:val="28"/>
                <w:szCs w:val="28"/>
              </w:rPr>
              <w:t>具备验收条件。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预计开工时间</w:t>
            </w:r>
          </w:p>
        </w:tc>
        <w:tc>
          <w:tcPr>
            <w:tcW w:w="3604" w:type="pct"/>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highlight w:val="none"/>
              </w:rPr>
              <w:t>2021年</w:t>
            </w:r>
            <w:r>
              <w:rPr>
                <w:rFonts w:hint="eastAsia" w:ascii="方正仿宋_GBK" w:hAnsi="方正仿宋_GBK" w:eastAsia="方正仿宋_GBK" w:cs="方正仿宋_GBK"/>
                <w:sz w:val="28"/>
                <w:szCs w:val="28"/>
                <w:highlight w:val="none"/>
                <w:lang w:val="en-US" w:eastAsia="zh-CN"/>
              </w:rPr>
              <w:t>8</w:t>
            </w:r>
            <w:r>
              <w:rPr>
                <w:rFonts w:hint="eastAsia" w:ascii="方正仿宋_GBK" w:hAnsi="方正仿宋_GBK" w:eastAsia="方正仿宋_GBK" w:cs="方正仿宋_GBK"/>
                <w:sz w:val="28"/>
                <w:szCs w:val="28"/>
                <w:highlight w:val="none"/>
              </w:rPr>
              <w:t xml:space="preserve"> 月</w:t>
            </w:r>
            <w:r>
              <w:rPr>
                <w:rFonts w:hint="eastAsia" w:ascii="方正仿宋_GBK" w:hAnsi="方正仿宋_GBK" w:eastAsia="方正仿宋_GBK" w:cs="方正仿宋_GBK"/>
                <w:sz w:val="28"/>
                <w:szCs w:val="28"/>
                <w:highlight w:val="none"/>
                <w:lang w:val="en-US" w:eastAsia="zh-CN"/>
              </w:rPr>
              <w:t>31</w:t>
            </w:r>
            <w:r>
              <w:rPr>
                <w:rFonts w:hint="eastAsia" w:ascii="方正仿宋_GBK" w:hAnsi="方正仿宋_GBK" w:eastAsia="方正仿宋_GBK" w:cs="方正仿宋_GBK"/>
                <w:sz w:val="28"/>
                <w:szCs w:val="28"/>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二、比选被邀请人须知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9" w:hRule="atLeast"/>
        </w:trPr>
        <w:tc>
          <w:tcPr>
            <w:tcW w:w="1395" w:type="pct"/>
            <w:shd w:val="clear" w:color="auto" w:fill="auto"/>
            <w:vAlign w:val="center"/>
          </w:tcPr>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比选范围及内容</w:t>
            </w:r>
          </w:p>
        </w:tc>
        <w:tc>
          <w:tcPr>
            <w:tcW w:w="3604" w:type="pct"/>
            <w:vAlign w:val="center"/>
          </w:tcPr>
          <w:p>
            <w:pPr>
              <w:spacing w:line="440" w:lineRule="exact"/>
              <w:ind w:firstLine="560" w:firstLineChars="200"/>
              <w:rPr>
                <w:rFonts w:hint="eastAsia" w:ascii="方正仿宋_GBK" w:hAnsi="方正仿宋_GBK" w:eastAsia="方正仿宋_GBK" w:cs="方正仿宋_GBK"/>
                <w:sz w:val="28"/>
                <w:szCs w:val="28"/>
              </w:rPr>
            </w:pPr>
            <w:bookmarkStart w:id="0" w:name="_Toc62826684"/>
            <w:r>
              <w:rPr>
                <w:rFonts w:hint="eastAsia" w:ascii="方正仿宋_GBK" w:hAnsi="方正仿宋_GBK" w:eastAsia="方正仿宋_GBK" w:cs="方正仿宋_GBK"/>
                <w:sz w:val="28"/>
                <w:szCs w:val="28"/>
              </w:rPr>
              <w:t>比选包含三个方面内容，一是防火墙、上网行为管理、入侵检测和防病毒墙等网络安全设施建设；二是交换机、路由器、无线AP升级改造；三是集团网络、网站的安全运维、漏洞扫描、安全保障等网络安全服务。</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比选被邀请人资格要求</w:t>
            </w:r>
          </w:p>
        </w:tc>
        <w:tc>
          <w:tcPr>
            <w:tcW w:w="3604" w:type="pct"/>
            <w:vAlign w:val="center"/>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（1）具备独立法人资格；</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（2）电子与智能化工程专业承包贰级资质或以上资质；</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（3）业绩要求：2018年1月1日至投标截止时间，投标人需提供1个单项合同额不小于80万元的信息化集成项目业绩一个；</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比选文件递交时间、地点及文件份数</w:t>
            </w:r>
          </w:p>
        </w:tc>
        <w:tc>
          <w:tcPr>
            <w:tcW w:w="3604" w:type="pct"/>
            <w:vAlign w:val="center"/>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递交时间：</w:t>
            </w:r>
            <w:r>
              <w:rPr>
                <w:rFonts w:hint="eastAsia" w:ascii="方正仿宋_GBK" w:hAnsi="方正仿宋_GBK" w:eastAsia="方正仿宋_GBK" w:cs="方正仿宋_GBK"/>
                <w:sz w:val="28"/>
                <w:szCs w:val="28"/>
                <w:highlight w:val="none"/>
              </w:rPr>
              <w:t xml:space="preserve">于2021年 </w:t>
            </w:r>
            <w:r>
              <w:rPr>
                <w:rFonts w:hint="eastAsia" w:ascii="方正仿宋_GBK" w:hAnsi="方正仿宋_GBK" w:eastAsia="方正仿宋_GBK" w:cs="方正仿宋_GBK"/>
                <w:sz w:val="28"/>
                <w:szCs w:val="28"/>
                <w:highlight w:val="none"/>
                <w:lang w:val="en-US" w:eastAsia="zh-CN"/>
              </w:rPr>
              <w:t>8</w:t>
            </w:r>
            <w:r>
              <w:rPr>
                <w:rFonts w:hint="eastAsia" w:ascii="方正仿宋_GBK" w:hAnsi="方正仿宋_GBK" w:eastAsia="方正仿宋_GBK" w:cs="方正仿宋_GBK"/>
                <w:sz w:val="28"/>
                <w:szCs w:val="28"/>
                <w:highlight w:val="none"/>
              </w:rPr>
              <w:t>月</w:t>
            </w:r>
            <w:r>
              <w:rPr>
                <w:rFonts w:hint="eastAsia" w:ascii="方正仿宋_GBK" w:hAnsi="方正仿宋_GBK" w:eastAsia="方正仿宋_GBK" w:cs="方正仿宋_GBK"/>
                <w:sz w:val="28"/>
                <w:szCs w:val="28"/>
                <w:highlight w:val="none"/>
                <w:lang w:val="en-US" w:eastAsia="zh-CN"/>
              </w:rPr>
              <w:t>13</w:t>
            </w:r>
            <w:r>
              <w:rPr>
                <w:rFonts w:hint="eastAsia" w:ascii="方正仿宋_GBK" w:hAnsi="方正仿宋_GBK" w:eastAsia="方正仿宋_GBK" w:cs="方正仿宋_GBK"/>
                <w:sz w:val="28"/>
                <w:szCs w:val="28"/>
                <w:highlight w:val="none"/>
              </w:rPr>
              <w:t>日</w:t>
            </w:r>
            <w:r>
              <w:rPr>
                <w:rFonts w:hint="eastAsia" w:ascii="方正仿宋_GBK" w:hAnsi="方正仿宋_GBK" w:eastAsia="方正仿宋_GBK" w:cs="方正仿宋_GBK"/>
                <w:sz w:val="28"/>
                <w:szCs w:val="28"/>
                <w:highlight w:val="none"/>
                <w:lang w:val="en-US" w:eastAsia="zh-CN"/>
              </w:rPr>
              <w:t>14</w:t>
            </w:r>
            <w:r>
              <w:rPr>
                <w:rFonts w:hint="eastAsia" w:ascii="方正仿宋_GBK" w:hAnsi="方正仿宋_GBK" w:eastAsia="方正仿宋_GBK" w:cs="方正仿宋_GBK"/>
                <w:sz w:val="28"/>
                <w:szCs w:val="28"/>
                <w:highlight w:val="none"/>
              </w:rPr>
              <w:t xml:space="preserve"> 时</w:t>
            </w:r>
            <w:r>
              <w:rPr>
                <w:rFonts w:hint="eastAsia" w:ascii="方正仿宋_GBK" w:hAnsi="方正仿宋_GBK" w:eastAsia="方正仿宋_GBK" w:cs="方正仿宋_GBK"/>
                <w:sz w:val="28"/>
                <w:szCs w:val="28"/>
                <w:highlight w:val="none"/>
                <w:lang w:val="en-US" w:eastAsia="zh-CN"/>
              </w:rPr>
              <w:t>25</w:t>
            </w:r>
            <w:r>
              <w:rPr>
                <w:rFonts w:hint="eastAsia" w:ascii="方正仿宋_GBK" w:hAnsi="方正仿宋_GBK" w:eastAsia="方正仿宋_GBK" w:cs="方正仿宋_GBK"/>
                <w:sz w:val="28"/>
                <w:szCs w:val="28"/>
                <w:highlight w:val="none"/>
              </w:rPr>
              <w:t xml:space="preserve"> 分截止。</w:t>
            </w:r>
            <w:r>
              <w:rPr>
                <w:rFonts w:hint="eastAsia" w:ascii="方正仿宋_GBK" w:hAnsi="方正仿宋_GBK" w:eastAsia="方正仿宋_GBK" w:cs="方正仿宋_GBK"/>
                <w:sz w:val="28"/>
                <w:szCs w:val="28"/>
              </w:rPr>
              <w:t xml:space="preserve">    </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递交地点：重庆市北部新区泰山大道东段梧桐路6号（交通开投大厦</w:t>
            </w:r>
            <w:r>
              <w:rPr>
                <w:rFonts w:hint="eastAsia" w:ascii="方正仿宋_GBK" w:hAnsi="方正仿宋_GBK" w:eastAsia="方正仿宋_GBK" w:cs="方正仿宋_GBK"/>
                <w:sz w:val="28"/>
                <w:szCs w:val="28"/>
                <w:lang w:val="en-US" w:eastAsia="zh-CN"/>
              </w:rPr>
              <w:t>1209</w:t>
            </w:r>
            <w:r>
              <w:rPr>
                <w:rFonts w:hint="eastAsia" w:ascii="方正仿宋_GBK" w:hAnsi="方正仿宋_GBK" w:eastAsia="方正仿宋_GBK" w:cs="方正仿宋_GBK"/>
                <w:sz w:val="28"/>
                <w:szCs w:val="28"/>
              </w:rPr>
              <w:t xml:space="preserve">室） </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谈判时间： 于</w:t>
            </w:r>
            <w:r>
              <w:rPr>
                <w:rFonts w:hint="eastAsia" w:ascii="方正仿宋_GBK" w:hAnsi="方正仿宋_GBK" w:eastAsia="方正仿宋_GBK" w:cs="方正仿宋_GBK"/>
                <w:sz w:val="28"/>
                <w:szCs w:val="28"/>
                <w:highlight w:val="none"/>
              </w:rPr>
              <w:t xml:space="preserve">2021年 </w:t>
            </w:r>
            <w:r>
              <w:rPr>
                <w:rFonts w:hint="eastAsia" w:ascii="方正仿宋_GBK" w:hAnsi="方正仿宋_GBK" w:eastAsia="方正仿宋_GBK" w:cs="方正仿宋_GBK"/>
                <w:sz w:val="28"/>
                <w:szCs w:val="28"/>
                <w:highlight w:val="none"/>
                <w:lang w:val="en-US" w:eastAsia="zh-CN"/>
              </w:rPr>
              <w:t>8</w:t>
            </w:r>
            <w:r>
              <w:rPr>
                <w:rFonts w:hint="eastAsia" w:ascii="方正仿宋_GBK" w:hAnsi="方正仿宋_GBK" w:eastAsia="方正仿宋_GBK" w:cs="方正仿宋_GBK"/>
                <w:sz w:val="28"/>
                <w:szCs w:val="28"/>
                <w:highlight w:val="none"/>
              </w:rPr>
              <w:t xml:space="preserve"> 月 </w:t>
            </w:r>
            <w:r>
              <w:rPr>
                <w:rFonts w:hint="eastAsia" w:ascii="方正仿宋_GBK" w:hAnsi="方正仿宋_GBK" w:eastAsia="方正仿宋_GBK" w:cs="方正仿宋_GBK"/>
                <w:sz w:val="28"/>
                <w:szCs w:val="28"/>
                <w:highlight w:val="none"/>
                <w:lang w:val="en-US" w:eastAsia="zh-CN"/>
              </w:rPr>
              <w:t>13</w:t>
            </w:r>
            <w:r>
              <w:rPr>
                <w:rFonts w:hint="eastAsia" w:ascii="方正仿宋_GBK" w:hAnsi="方正仿宋_GBK" w:eastAsia="方正仿宋_GBK" w:cs="方正仿宋_GBK"/>
                <w:sz w:val="28"/>
                <w:szCs w:val="28"/>
                <w:highlight w:val="none"/>
              </w:rPr>
              <w:t xml:space="preserve">日 </w:t>
            </w:r>
            <w:r>
              <w:rPr>
                <w:rFonts w:hint="eastAsia" w:ascii="方正仿宋_GBK" w:hAnsi="方正仿宋_GBK" w:eastAsia="方正仿宋_GBK" w:cs="方正仿宋_GBK"/>
                <w:sz w:val="28"/>
                <w:szCs w:val="28"/>
                <w:highlight w:val="none"/>
                <w:lang w:val="en-US" w:eastAsia="zh-CN"/>
              </w:rPr>
              <w:t>14</w:t>
            </w:r>
            <w:r>
              <w:rPr>
                <w:rFonts w:hint="eastAsia" w:ascii="方正仿宋_GBK" w:hAnsi="方正仿宋_GBK" w:eastAsia="方正仿宋_GBK" w:cs="方正仿宋_GBK"/>
                <w:sz w:val="28"/>
                <w:szCs w:val="28"/>
                <w:highlight w:val="none"/>
              </w:rPr>
              <w:t xml:space="preserve">时 </w:t>
            </w:r>
            <w:r>
              <w:rPr>
                <w:rFonts w:hint="eastAsia" w:ascii="方正仿宋_GBK" w:hAnsi="方正仿宋_GBK" w:eastAsia="方正仿宋_GBK" w:cs="方正仿宋_GBK"/>
                <w:sz w:val="28"/>
                <w:szCs w:val="28"/>
                <w:highlight w:val="none"/>
                <w:lang w:val="en-US" w:eastAsia="zh-CN"/>
              </w:rPr>
              <w:t>30</w:t>
            </w:r>
            <w:r>
              <w:rPr>
                <w:rFonts w:hint="eastAsia" w:ascii="方正仿宋_GBK" w:hAnsi="方正仿宋_GBK" w:eastAsia="方正仿宋_GBK" w:cs="方正仿宋_GBK"/>
                <w:sz w:val="28"/>
                <w:szCs w:val="28"/>
              </w:rPr>
              <w:t>分</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比选文件份数：正本1份，副本1份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spacing w:line="440" w:lineRule="exact"/>
              <w:jc w:val="center"/>
              <w:rPr>
                <w:rFonts w:hint="eastAsia" w:ascii="方正仿宋_GBK" w:hAnsi="方正仿宋_GBK" w:eastAsia="方正仿宋_GBK" w:cs="方正仿宋_GBK"/>
                <w:color w:val="FF0000"/>
                <w:sz w:val="28"/>
                <w:szCs w:val="28"/>
              </w:rPr>
            </w:pPr>
            <w:r>
              <w:rPr>
                <w:rFonts w:hint="eastAsia" w:ascii="方正仿宋_GBK" w:hAnsi="方正仿宋_GBK" w:eastAsia="方正仿宋_GBK" w:cs="方正仿宋_GBK"/>
                <w:sz w:val="28"/>
                <w:szCs w:val="28"/>
              </w:rPr>
              <w:t>限价要求</w:t>
            </w:r>
          </w:p>
        </w:tc>
        <w:tc>
          <w:tcPr>
            <w:tcW w:w="3604" w:type="pct"/>
            <w:vAlign w:val="center"/>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本项目设置报价总价限价，限价为</w:t>
            </w:r>
            <w:r>
              <w:rPr>
                <w:rFonts w:hint="eastAsia" w:ascii="方正仿宋_GBK" w:hAnsi="方正仿宋_GBK" w:eastAsia="方正仿宋_GBK" w:cs="方正仿宋_GBK"/>
                <w:color w:val="auto"/>
                <w:sz w:val="28"/>
                <w:szCs w:val="28"/>
                <w:u w:val="none"/>
              </w:rPr>
              <w:t xml:space="preserve"> 955</w:t>
            </w:r>
            <w:r>
              <w:rPr>
                <w:rFonts w:hint="eastAsia" w:ascii="方正仿宋_GBK" w:hAnsi="方正仿宋_GBK" w:eastAsia="方正仿宋_GBK" w:cs="方正仿宋_GBK"/>
                <w:color w:val="auto"/>
                <w:sz w:val="28"/>
                <w:szCs w:val="28"/>
                <w:u w:val="none"/>
                <w:lang w:val="en-US" w:eastAsia="zh-CN"/>
              </w:rPr>
              <w:t>6</w:t>
            </w:r>
            <w:r>
              <w:rPr>
                <w:rFonts w:hint="eastAsia" w:ascii="方正仿宋_GBK" w:hAnsi="方正仿宋_GBK" w:eastAsia="方正仿宋_GBK" w:cs="方正仿宋_GBK"/>
                <w:color w:val="auto"/>
                <w:sz w:val="28"/>
                <w:szCs w:val="28"/>
                <w:u w:val="none"/>
              </w:rPr>
              <w:t>00.00</w:t>
            </w:r>
            <w:r>
              <w:rPr>
                <w:rFonts w:hint="eastAsia" w:ascii="方正仿宋_GBK" w:hAnsi="方正仿宋_GBK" w:eastAsia="方正仿宋_GBK" w:cs="方正仿宋_GBK"/>
                <w:sz w:val="28"/>
                <w:szCs w:val="28"/>
              </w:rPr>
              <w:t>元。</w:t>
            </w:r>
          </w:p>
          <w:p>
            <w:pPr>
              <w:spacing w:line="440" w:lineRule="exact"/>
              <w:ind w:firstLine="560" w:firstLineChars="200"/>
              <w:rPr>
                <w:rFonts w:hint="eastAsia" w:ascii="方正仿宋_GBK" w:hAnsi="方正仿宋_GBK" w:eastAsia="方正仿宋_GBK" w:cs="方正仿宋_GBK"/>
                <w:color w:val="FF0000"/>
                <w:sz w:val="28"/>
                <w:szCs w:val="28"/>
                <w:lang w:eastAsia="zh-CN"/>
              </w:rPr>
            </w:pPr>
            <w:r>
              <w:rPr>
                <w:rFonts w:hint="eastAsia" w:ascii="方正仿宋_GBK" w:hAnsi="方正仿宋_GBK" w:eastAsia="方正仿宋_GBK" w:cs="方正仿宋_GBK"/>
                <w:sz w:val="28"/>
                <w:szCs w:val="28"/>
              </w:rPr>
              <w:t>请潜在竞标人根据自身情况结合工程量清单，自主报价，报价超过设置的总价限价的，将被否决谈判</w:t>
            </w:r>
            <w:r>
              <w:rPr>
                <w:rFonts w:hint="eastAsia" w:ascii="方正仿宋_GBK" w:hAnsi="方正仿宋_GBK" w:eastAsia="方正仿宋_GBK" w:cs="方正仿宋_GBK"/>
                <w:sz w:val="28"/>
                <w:szCs w:val="2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报价要求</w:t>
            </w:r>
          </w:p>
        </w:tc>
        <w:tc>
          <w:tcPr>
            <w:tcW w:w="3604" w:type="pct"/>
            <w:vAlign w:val="center"/>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报价要求（举例）：本次报价为全费用包干固定综合单价，包含但不限于</w:t>
            </w:r>
            <w:r>
              <w:rPr>
                <w:rFonts w:hint="eastAsia" w:ascii="方正仿宋_GBK" w:hAnsi="方正仿宋_GBK" w:eastAsia="方正仿宋_GBK" w:cs="方正仿宋_GBK"/>
                <w:sz w:val="28"/>
                <w:szCs w:val="28"/>
                <w:lang w:val="en-US" w:eastAsia="zh-CN"/>
              </w:rPr>
              <w:t>设备采购费用、</w:t>
            </w:r>
            <w:r>
              <w:rPr>
                <w:rFonts w:hint="eastAsia" w:ascii="方正仿宋_GBK" w:hAnsi="方正仿宋_GBK" w:eastAsia="方正仿宋_GBK" w:cs="方正仿宋_GBK"/>
                <w:sz w:val="28"/>
                <w:szCs w:val="28"/>
              </w:rPr>
              <w:t>人工费、材料费、机械费、企业管理费、利润、风险费用、检测费、措施费、赶工补偿费、水电费、垃圾清运费弃渣费、规费、税金以及本工程备案与验收、其他风险等相关手续的所有费用。结算时综合包干单价不作任何调整，结算工程量按甲方确认的乙方实际检测数量进行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5" w:type="pct"/>
            <w:vAlign w:val="center"/>
          </w:tcPr>
          <w:p>
            <w:pPr>
              <w:spacing w:line="440" w:lineRule="exact"/>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费用支付方式</w:t>
            </w:r>
          </w:p>
        </w:tc>
        <w:tc>
          <w:tcPr>
            <w:tcW w:w="3604" w:type="pct"/>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1、在合同签订之后，采购人按合同总价的20%支付工程预付款。</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2、当工程主要材料全部到场并签收后，采购人支付合同总价的35%；</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3、当项目完工并验收合格后，采购人支付合同总价的35%；</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4、剩余10％为质量保证金，质保期满（项目验收之日起1年）后一次付清。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三、评选、定选方式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pStyle w:val="2"/>
              <w:spacing w:line="500" w:lineRule="exact"/>
              <w:ind w:firstLine="560" w:firstLineChars="200"/>
              <w:outlineLvl w:val="2"/>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val="0"/>
                <w:sz w:val="28"/>
                <w:szCs w:val="28"/>
              </w:rPr>
              <w:t>当众开封查验响应性文件，宣读报价书，委托代理人签字确认报价后离场，评选小组对比选文件进行评审，在满足比选文件邀请函要求的情况下，所有比选被邀请人（报价高于最高限价的及资质不符合要求的为废标，不参与评选）的比选总报价中以报价最低的潜在比选单位为第一候选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四、比选文件组成及要求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比选文件包括但不限于以下内容：（1）比选函及报价清单；（2）营业执照、企业资质证书复印件；（3）法定代表人或授权代理人身份证明及授权委托书；（4）公司业绩证明材料；（5）拟派人员及资格、职称证书；（6）根据比选项目要求情况需要添加的其他资料，如技术文件、方案等。</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2、要求提供的资料均需加盖鲜章，所有资料密封并在密封袋上写明单位名称并加盖公章。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spacing w:line="44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五、否决比选条款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1、未在规定的时间内递交竞标文件。</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2、未按要求报价或超过最高限价的。</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3、法定代表人或其委托代理人的签字（或盖章）不齐全，授权代表人身份证明不相符。</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4、资质（或营业执照明确的经营范围）不符合文件上述要求，审查营业执照范围或资质证书等级。</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5、业绩证明材料不符合文件上述要求，审查业绩时间、金额、类别等。</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6、竞标文件应完全满足比选函要求，相关证明材料应按要求加盖公章（鲜章）。有一条及以上不能满足比选要求的供应商将失去成为成交供应商的资格。</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7、比选文件未按要求加盖公章。</w:t>
            </w:r>
          </w:p>
          <w:p>
            <w:pPr>
              <w:spacing w:line="440" w:lineRule="exact"/>
              <w:ind w:firstLine="560" w:firstLineChars="20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8、发现串通投标或弄虚作假或有其他违法行为的。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pPr>
              <w:spacing w:line="440" w:lineRule="exact"/>
              <w:rPr>
                <w:rFonts w:hint="eastAsia" w:ascii="方正仿宋_GBK" w:eastAsia="方正仿宋_GBK" w:cs="仿宋_GB2312" w:hAnsiTheme="minorEastAsia"/>
                <w:color w:val="auto"/>
                <w:kern w:val="2"/>
                <w:sz w:val="28"/>
                <w:szCs w:val="28"/>
                <w:lang w:val="en-US" w:eastAsia="zh-CN" w:bidi="ar-SA"/>
              </w:rPr>
            </w:pPr>
            <w:r>
              <w:rPr>
                <w:rFonts w:hint="eastAsia" w:ascii="方正仿宋_GBK" w:eastAsia="方正仿宋_GBK" w:cs="仿宋_GB2312" w:hAnsiTheme="minorEastAsia"/>
                <w:color w:val="auto"/>
                <w:sz w:val="28"/>
                <w:szCs w:val="28"/>
              </w:rPr>
              <w:t>六、合同违约条款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vAlign w:val="center"/>
          </w:tcPr>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1.如果因乙方责任在本合同所规定的交付时间内，未能保质保量完成本合同所规定的项目，违约金如下：</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（1）每延期 1 天，乙方应向甲方支付合同总价的 0.1%的违约金，但违约金总数不超过合同总价的 3%。</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（2）如果延期超过 30 天，甲方有权提前解除合同，除前款所约定的违约金外，乙方应当支付合同总价 3%的金额作为对甲方的赔偿，并退回甲方已支付的全部款项。如乙方支付的赔偿金不足以赔偿甲方因此所遭受的损失（包括直接损失、间接损失、诉讼费、鉴定费、评估费、律师费等），乙方应当就超出赔偿金部分的损失进行赔偿。</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（3）因甲方原因导致延期交货或延期安装的，乙方不承担违约责任，并且交货期限相应顺延，但甲方不承担任何违约责任及费用。</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2.乙方所供产品的质量、技术标准以及产品的集成安装质量，应当符合本合同相关约定，未达到约定要求的，乙方应当予以免费调换、补足或整改，且交货期限不予顺延，因此造成延期交货的，乙方按本条第1款约定承担违约责任；如乙方不能调换、补足或整改的，甲方有权解除本合同，乙方应当向甲方支付合同总金额 3%的违约金，退回甲方已支付的全部款项，并赔偿甲方因此所遭受的所有损失（包括但不限于直接损失、间接损失、诉讼费、鉴定费、评估费、律师费等）。</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3.因乙方原因造成甲方拒绝收货或验收不合格的，不因此而免除乙方的逾期责任。</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4.乙方承诺其向甲方出卖的货物具有完全的排他的所有权，没有任何权利负担（如质押、抵押等），若因出卖货物具有权利瑕疵，甲方有权解除本合同，乙方应当向甲方支付合同总金额 3%的违约金，退回甲方已支付的全部款项，并赔偿甲方因此所遭受的所有损失（包括但不限于直接损失、间接损失、诉讼费、鉴定费、评估费、律师费等）。</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5.不论是否经甲方同意，只要乙方更换项目经理的违约责任（死亡、达到法定退休年龄退休或按《职工非因工伤残或因病丧失劳动能力程度鉴定标准（试行）》规定鉴定为完全丧失劳动能力和大部分丧失劳动能力的情况除外）：乙方按1万元/人·次的标准向甲方支付违约金，并承担由此增加的费用，由此导致工期延误的，工期不予顺延。</w:t>
            </w:r>
          </w:p>
          <w:p>
            <w:pPr>
              <w:spacing w:line="440" w:lineRule="exact"/>
              <w:ind w:firstLine="560" w:firstLineChars="200"/>
              <w:rPr>
                <w:rFonts w:ascii="方正仿宋_GBK" w:eastAsia="方正仿宋_GBK" w:cs="仿宋_GB2312" w:hAnsiTheme="minorEastAsia"/>
                <w:color w:val="auto"/>
                <w:sz w:val="28"/>
                <w:szCs w:val="28"/>
              </w:rPr>
            </w:pPr>
            <w:r>
              <w:rPr>
                <w:rFonts w:hint="eastAsia" w:ascii="方正仿宋_GBK" w:eastAsia="方正仿宋_GBK" w:cs="仿宋_GB2312" w:hAnsiTheme="minorEastAsia"/>
                <w:color w:val="auto"/>
                <w:sz w:val="28"/>
                <w:szCs w:val="28"/>
              </w:rPr>
              <w:t>6.甲方以下情况视为付款违约：</w:t>
            </w:r>
          </w:p>
          <w:p>
            <w:pPr>
              <w:spacing w:line="440" w:lineRule="exact"/>
              <w:ind w:firstLine="560" w:firstLineChars="200"/>
              <w:rPr>
                <w:rFonts w:hint="eastAsia" w:ascii="方正仿宋_GBK" w:eastAsia="方正仿宋_GBK" w:cs="仿宋_GB2312" w:hAnsiTheme="minorEastAsia"/>
                <w:color w:val="auto"/>
                <w:kern w:val="2"/>
                <w:sz w:val="28"/>
                <w:szCs w:val="28"/>
                <w:lang w:val="en-US" w:eastAsia="zh-CN" w:bidi="ar-SA"/>
              </w:rPr>
            </w:pPr>
            <w:r>
              <w:rPr>
                <w:rFonts w:hint="eastAsia" w:ascii="方正仿宋_GBK" w:eastAsia="方正仿宋_GBK" w:cs="仿宋_GB2312" w:hAnsiTheme="minorEastAsia"/>
                <w:color w:val="auto"/>
                <w:sz w:val="28"/>
                <w:szCs w:val="28"/>
              </w:rPr>
              <w:t>（1）如果甲方未能按照合同规定的期限付款（因乙方违约甲方延期付款的情形除外），每延期 7 天，甲方应向乙方支付合同总价的 0.1%作为违约金，但是违约金的总额不得超过合同总价的 3%。 （2）如果延期超过 30 天，乙方有权终止合同，除前款所约定的违约金外，甲方还需支付合同总价的3%作为对乙方的赔偿。</w:t>
            </w:r>
          </w:p>
        </w:tc>
      </w:tr>
    </w:tbl>
    <w:p>
      <w:pPr>
        <w:pStyle w:val="2"/>
        <w:jc w:val="both"/>
        <w:rPr>
          <w:rFonts w:hint="eastAsia" w:ascii="方正仿宋_GBK" w:hAnsi="方正仿宋_GBK" w:eastAsia="方正仿宋_GBK" w:cs="方正仿宋_GBK"/>
          <w:b w:val="0"/>
          <w:bCs/>
          <w:kern w:val="0"/>
          <w:sz w:val="28"/>
          <w:szCs w:val="28"/>
        </w:rPr>
      </w:pPr>
    </w:p>
    <w:p>
      <w:pPr>
        <w:pStyle w:val="2"/>
        <w:jc w:val="right"/>
        <w:rPr>
          <w:rFonts w:hint="eastAsia" w:ascii="方正仿宋_GBK" w:hAnsi="方正仿宋_GBK" w:eastAsia="方正仿宋_GBK" w:cs="方正仿宋_GBK"/>
          <w:b w:val="0"/>
          <w:bCs/>
          <w:kern w:val="0"/>
          <w:sz w:val="28"/>
          <w:szCs w:val="28"/>
        </w:rPr>
      </w:pPr>
      <w:r>
        <w:rPr>
          <w:rFonts w:hint="eastAsia" w:ascii="方正仿宋_GBK" w:hAnsi="方正仿宋_GBK" w:eastAsia="方正仿宋_GBK" w:cs="方正仿宋_GBK"/>
          <w:b w:val="0"/>
          <w:bCs/>
          <w:kern w:val="0"/>
          <w:sz w:val="28"/>
          <w:szCs w:val="28"/>
        </w:rPr>
        <w:t xml:space="preserve">                        </w:t>
      </w:r>
    </w:p>
    <w:p>
      <w:pPr>
        <w:pStyle w:val="2"/>
        <w:rPr>
          <w:rFonts w:hint="eastAsia" w:ascii="方正仿宋_GBK" w:hAnsi="方正仿宋_GBK" w:eastAsia="方正仿宋_GBK" w:cs="方正仿宋_GBK"/>
        </w:rPr>
      </w:pPr>
      <w:r>
        <w:rPr>
          <w:rFonts w:hint="eastAsia" w:ascii="方正仿宋_GBK" w:hAnsi="方正仿宋_GBK" w:eastAsia="方正仿宋_GBK" w:cs="方正仿宋_GBK"/>
        </w:rPr>
        <w:br w:type="page"/>
      </w:r>
    </w:p>
    <w:p>
      <w:pPr>
        <w:bidi w:val="0"/>
        <w:jc w:val="left"/>
        <w:rPr>
          <w:rFonts w:hint="eastAsia" w:ascii="方正仿宋_GBK" w:hAnsi="方正仿宋_GBK" w:eastAsia="方正仿宋_GBK" w:cs="方正仿宋_GBK"/>
          <w:b/>
          <w:bCs/>
          <w:sz w:val="24"/>
          <w:szCs w:val="24"/>
          <w:lang w:val="en-US" w:eastAsia="zh-CN"/>
        </w:rPr>
      </w:pPr>
      <w:r>
        <w:rPr>
          <w:rFonts w:hint="eastAsia" w:ascii="方正仿宋_GBK" w:hAnsi="方正仿宋_GBK" w:eastAsia="方正仿宋_GBK" w:cs="方正仿宋_GBK"/>
          <w:sz w:val="24"/>
          <w:szCs w:val="24"/>
          <w:lang w:val="en-US" w:eastAsia="zh-CN"/>
        </w:rPr>
        <w:t>附件：设备清单及技术参数要求</w:t>
      </w:r>
    </w:p>
    <w:tbl>
      <w:tblPr>
        <w:tblStyle w:val="7"/>
        <w:tblW w:w="9055" w:type="dxa"/>
        <w:tblInd w:w="96" w:type="dxa"/>
        <w:shd w:val="clear" w:color="auto" w:fill="auto"/>
        <w:tblLayout w:type="autofit"/>
        <w:tblCellMar>
          <w:top w:w="0" w:type="dxa"/>
          <w:left w:w="108" w:type="dxa"/>
          <w:bottom w:w="0" w:type="dxa"/>
          <w:right w:w="108" w:type="dxa"/>
        </w:tblCellMar>
      </w:tblPr>
      <w:tblGrid>
        <w:gridCol w:w="600"/>
        <w:gridCol w:w="945"/>
        <w:gridCol w:w="1834"/>
        <w:gridCol w:w="180"/>
        <w:gridCol w:w="4746"/>
        <w:gridCol w:w="750"/>
      </w:tblGrid>
      <w:tr>
        <w:tblPrEx>
          <w:shd w:val="clear" w:color="auto" w:fill="auto"/>
          <w:tblCellMar>
            <w:top w:w="0" w:type="dxa"/>
            <w:left w:w="108" w:type="dxa"/>
            <w:bottom w:w="0" w:type="dxa"/>
            <w:right w:w="108" w:type="dxa"/>
          </w:tblCellMar>
        </w:tblPrEx>
        <w:trPr>
          <w:trHeight w:val="400" w:hRule="atLeast"/>
          <w:tblHeader/>
        </w:trPr>
        <w:tc>
          <w:tcPr>
            <w:tcW w:w="600" w:type="dxa"/>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jc w:val="center"/>
              <w:textAlignment w:val="center"/>
              <w:rPr>
                <w:rFonts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序号</w:t>
            </w:r>
          </w:p>
        </w:tc>
        <w:tc>
          <w:tcPr>
            <w:tcW w:w="945" w:type="dxa"/>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设备名称</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招标参数</w:t>
            </w:r>
          </w:p>
        </w:tc>
        <w:tc>
          <w:tcPr>
            <w:tcW w:w="750" w:type="dxa"/>
            <w:tcBorders>
              <w:top w:val="single" w:color="000000" w:sz="4" w:space="0"/>
              <w:left w:val="single" w:color="000000" w:sz="4" w:space="0"/>
              <w:bottom w:val="single" w:color="000000" w:sz="4" w:space="0"/>
              <w:right w:val="single" w:color="000000" w:sz="4" w:space="0"/>
            </w:tcBorders>
            <w:shd w:val="clear" w:color="auto" w:fill="F1F1F1"/>
            <w:vAlign w:val="center"/>
          </w:tcPr>
          <w:p>
            <w:pPr>
              <w:keepNext w:val="0"/>
              <w:keepLines w:val="0"/>
              <w:widowControl/>
              <w:suppressLineNumbers w:val="0"/>
              <w:jc w:val="center"/>
              <w:textAlignment w:val="center"/>
              <w:rPr>
                <w:rFonts w:hint="eastAsia" w:ascii="方正仿宋_GBK" w:hAnsi="方正仿宋_GBK" w:eastAsia="方正仿宋_GBK" w:cs="方正仿宋_GBK"/>
                <w:b/>
                <w:bCs/>
                <w:i w:val="0"/>
                <w:iCs w:val="0"/>
                <w:color w:val="000000"/>
                <w:sz w:val="20"/>
                <w:szCs w:val="20"/>
                <w:u w:val="none"/>
              </w:rPr>
            </w:pPr>
            <w:r>
              <w:rPr>
                <w:rFonts w:hint="eastAsia" w:ascii="方正仿宋_GBK" w:hAnsi="方正仿宋_GBK" w:eastAsia="方正仿宋_GBK" w:cs="方正仿宋_GBK"/>
                <w:b/>
                <w:bCs/>
                <w:i w:val="0"/>
                <w:iCs w:val="0"/>
                <w:color w:val="000000"/>
                <w:kern w:val="0"/>
                <w:sz w:val="20"/>
                <w:szCs w:val="20"/>
                <w:u w:val="none"/>
                <w:lang w:val="en-US" w:eastAsia="zh-CN" w:bidi="ar"/>
              </w:rPr>
              <w:t>数量</w:t>
            </w:r>
          </w:p>
        </w:tc>
      </w:tr>
      <w:tr>
        <w:tblPrEx>
          <w:shd w:val="clear" w:color="auto" w:fill="auto"/>
          <w:tblCellMar>
            <w:top w:w="0" w:type="dxa"/>
            <w:left w:w="108" w:type="dxa"/>
            <w:bottom w:w="0" w:type="dxa"/>
            <w:right w:w="108" w:type="dxa"/>
          </w:tblCellMar>
        </w:tblPrEx>
        <w:trPr>
          <w:trHeight w:val="400"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一、网络安全设施建设（硬件）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仿宋_GBK" w:hAnsi="方正仿宋_GBK" w:eastAsia="方正仿宋_GBK" w:cs="方正仿宋_GBK"/>
                <w:i w:val="0"/>
                <w:iCs w:val="0"/>
                <w:color w:val="000000"/>
                <w:sz w:val="20"/>
                <w:szCs w:val="20"/>
                <w:u w:val="none"/>
              </w:rPr>
            </w:pPr>
          </w:p>
        </w:tc>
      </w:tr>
      <w:tr>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防火墙</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性能参数：网络层吞吐量：6G，应用层吞吐量：2G，IPS吞吐量：500M，防病毒吞吐量：800M，全威胁吞吐量：400M，并发连接数：180万，HTTP新建连接数：6万，SSL VPN推荐用户数（单独购买）：20，SSL VPN最大用户数（单独购买）：80，SSL VPN最大理论加密流量（单独购买）：300M，IPSec最大隧道数：1000，IPSec  VPN吞吐量：160M。</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硬件参数：规格：1U，内存大小：4G，硬盘容量：64G minisata SSD，电源：单电源，接口：6千兆电口+4千兆光口SFP。</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上网行为管理</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性能参数：网络层吞吐量（大包）：4.8Gb，应用层吞吐量：600Mb，带宽性能：400Mb，IPSEC VPN加密性能（最高性能）：120Mb，支持用户数：3000，包转发率：72Kpps，每秒新建连接数：8000，最大并发连接数：400000。</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硬件参数：规格：1U，内存大小：4G，硬盘容量：1T SATA，电源：单电源，接口：8千兆电口+4千兆光口SFP。</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3</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入侵检测</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性能参数：网络层吞吐量：20Gbps，IPS吞吐量：1.6Gbps，并发连接数：2200000，新建连接数：150000。</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硬件参数：规格：1U，内存大小：8G，硬盘容量：128GB minisata SSD，电源：单电源，接口：6千兆电口+4千兆光口+2万兆光口SFP+。</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4</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新一代防毒墙</w:t>
            </w: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sz w:val="20"/>
                <w:szCs w:val="20"/>
                <w:u w:val="none"/>
              </w:rPr>
              <w:t>EDR-PC</w:t>
            </w:r>
          </w:p>
        </w:tc>
        <w:tc>
          <w:tcPr>
            <w:tcW w:w="4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2"/>
                <w:sz w:val="20"/>
                <w:szCs w:val="20"/>
                <w:u w:val="none"/>
                <w:lang w:val="en-US" w:eastAsia="zh-CN" w:bidi="ar-SA"/>
              </w:rPr>
            </w:pPr>
            <w:r>
              <w:rPr>
                <w:rFonts w:hint="eastAsia" w:ascii="方正仿宋_GBK" w:hAnsi="方正仿宋_GBK" w:eastAsia="方正仿宋_GBK" w:cs="方正仿宋_GBK"/>
                <w:i w:val="0"/>
                <w:iCs w:val="0"/>
                <w:color w:val="000000"/>
                <w:kern w:val="0"/>
                <w:sz w:val="20"/>
                <w:szCs w:val="20"/>
                <w:u w:val="none"/>
                <w:lang w:val="en-US" w:eastAsia="zh-CN" w:bidi="ar"/>
              </w:rPr>
              <w:t>支持Windows 2003、Windows XP、Windows 7、Windows 8、Windows 10等操作系统</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支持病毒查杀、勒索挖矿防御、进程管理、端口管理、外设管控、性能监控、登录防护、web防护、内核级防火墙（微隔离）、流量画像、情报云脑等功能。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200</w:t>
            </w:r>
          </w:p>
        </w:tc>
      </w:tr>
      <w:tr>
        <w:tblPrEx>
          <w:shd w:val="clear" w:color="auto" w:fill="auto"/>
          <w:tblCellMar>
            <w:top w:w="0" w:type="dxa"/>
            <w:left w:w="108" w:type="dxa"/>
            <w:bottom w:w="0" w:type="dxa"/>
            <w:right w:w="108" w:type="dxa"/>
          </w:tblCellMar>
        </w:tblPrEx>
        <w:trPr>
          <w:trHeight w:val="40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c>
          <w:tcPr>
            <w:tcW w:w="18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sz w:val="20"/>
                <w:szCs w:val="20"/>
                <w:u w:val="none"/>
              </w:rPr>
              <w:t>服务器（含EDR服务端）</w:t>
            </w:r>
          </w:p>
        </w:tc>
        <w:tc>
          <w:tcPr>
            <w:tcW w:w="49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2"/>
                <w:sz w:val="20"/>
                <w:szCs w:val="20"/>
                <w:u w:val="none"/>
                <w:lang w:val="en-US" w:eastAsia="zh-CN" w:bidi="ar-SA"/>
              </w:rPr>
            </w:pPr>
            <w:r>
              <w:rPr>
                <w:rFonts w:hint="eastAsia" w:ascii="方正仿宋_GBK" w:hAnsi="方正仿宋_GBK" w:eastAsia="方正仿宋_GBK" w:cs="方正仿宋_GBK"/>
                <w:i w:val="0"/>
                <w:iCs w:val="0"/>
                <w:color w:val="000000"/>
                <w:kern w:val="0"/>
                <w:sz w:val="20"/>
                <w:szCs w:val="20"/>
                <w:u w:val="none"/>
                <w:lang w:val="en-US" w:eastAsia="zh-CN" w:bidi="ar"/>
              </w:rPr>
              <w:t>1.服务器12盘（2288HV5服务器12*3.5”盘分销典配--支持24根DDR4内存,无RAID卡，无硬盘,2*GE+2*10GE（不含光模块），支持双电源,无DVD,滑轨)；</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2.英特尔至强金牌 (不低于2.1GHz/16-Core)处理器*1；DDR4 RDIMM内存-32GB-2933MT/s-2Rank(2G*4bit)-1.2V-ECC*2；通用硬盘-600GB-SAS 12Gb/s-10000rpm-2.5inch-热插拔-内置式-3.5英寸拉手条*4；</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3.SR130 SAS/SATA RAID卡-BC61ESMN-RAID0,1,10,1E,0 Cache(LSI3008)*1；</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4.550W 白金交流V5服务器电源模块 (适配墙插和PDU插座) *2</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二、现有网络设备升级改造（硬件）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仿宋_GBK" w:hAnsi="方正仿宋_GBK" w:eastAsia="方正仿宋_GBK" w:cs="方正仿宋_GBK"/>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接入交换机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1.交换容量≥330Gbps、包转发率≥50Mpps（若存在A/B值以小值为准），设备接口≥24个千兆电口，≥4个千兆光口,配置标准USB接口，支持USB快速开局；</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2.支持MAC地址≥16K、支持ARP表项≥2K、支持IPv4 FIB表项≥4K，提供证明材料；</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3.支持RIP、RIPng、OSPF、OSPFv3路由协议；</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4.支持核心接入层设备和无线AP虚拟成一台设备简化管理，提供证明材料；</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5.支持Telemetry技术，能及时检测发现网络故障；</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6.提供原厂售后服务承诺。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8</w:t>
            </w:r>
          </w:p>
        </w:tc>
      </w:tr>
      <w:tr>
        <w:tblPrEx>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POE交换机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1.交换容量≥330Gbps、包转发率≥50Mpps（若存在A/B值以小值为准），设备接口≥24个千兆电口，≥4个千兆光口，,配置标准USB接口，支持USB快速开局；</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2.支持POE供电，POE≥380W；</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3.支持MAC地址≥16K、支持ARP表项≥2K、支持IPv4 FIB表项≥4K，提供证明材料；</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4.支持RIP、RIPng、OSPF、OSPFv3路由协议；</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5.支持核心接入层设备和无线AP虚拟成一台设备简化管理，提供证明材料；</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6.支持Telemetry技术，提供官网截图证明材料；能及时检测发现网络故障；</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7.提供原厂售后服务承诺。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3</w:t>
            </w: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7</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核心交换机</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1.交换容量≥2Tbps、包转发率≥400Mpps（若存在A/B值以小值为准），设备接口≥20个千兆光口，≥4个万兆光口，≥6个40GE QSFP+</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2.为了提高设备可靠性，支持模块化可插拔双电源,为了提高设备散热性能，支持可插拔风扇框，风扇框个数≥4,</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3.支持MAC地址≥128K、支持ARP表项≥128K、支持IPv4 FIB表项≥128K，提供证明材料</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4.支持RIP 、OSPF、BGP、ISIS、RIPng、OSPFv3、ISISv6、BGP4+等路由协议；</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5.支持核心接入层设备和无线AP虚拟成一台设备简化管理，提供权威第三方测试报告</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6.支持Telemetry技术，提供官网截图证明材料；能及时检测发现网络故障；</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7.支持融合AC管理功能，整机可管理1K AP，提供权威第三方测试报告</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8.支持VxLAN功能，支持BGP EVPN，支持分布式 Anycast 网关，支持VxLAN的自动化部署，提供权威第三方测试报告；</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9.交换机支持报告攻击事件给网络安全智能系统，与网络安全智能系统和SDN控制器联动，以实现安全协防，提供权威第三方测试报告；</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10.投标设备生产厂家具有中国信息安全测评中心颁发的《国家信息安全测评信息安全服务资质证书》（安全工程类二级），提供证明材料；</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11.提供原厂售后服务承诺。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w:t>
            </w: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路由器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1.支持802.11a、802.11b、802.11g、802.11n、802.11e、802.11d、802.11ac等协议，支持传输速率选择，支持信道选择，支持最大传输功率设置；</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2.支持最大管理AP数量≥128，支持最大管理用户数量≥2K，提供官网链接和截图；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3.转发性能≥4Gbps，提供官网链接和截图；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4.支持10个千兆RJ45电口+2个万兆光口，支持USB接口，配合U盘使用，可用于开局、传输配置文件、升级文件等；</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5.支持静态路由，RIP-1/RIP-2，OSPF，BGP，IS-IS，路由策略、策略路由，提供官网链接和截图；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6.支持负载分担功能，支持基于流量或用户数的AP负载分担；</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7.提供整体无线网络性能监控，支持对AC/AP/射频/终端的性能监控，并提供性能趋势分析；</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8.支持端到端可视化故障诊断，拓扑呈现网络类型，对用户/AP/AC按线索</w:t>
            </w:r>
            <w:r>
              <w:rPr>
                <w:rStyle w:val="18"/>
                <w:lang w:val="en-US" w:eastAsia="zh-CN" w:bidi="ar"/>
              </w:rPr>
              <w:t>⼀</w:t>
            </w:r>
            <w:r>
              <w:rPr>
                <w:rStyle w:val="19"/>
                <w:lang w:val="en-US" w:eastAsia="zh-CN" w:bidi="ar"/>
              </w:rPr>
              <w:t>一步步呈现故障根因和处理建议；</w:t>
            </w:r>
            <w:r>
              <w:rPr>
                <w:rStyle w:val="19"/>
                <w:lang w:val="en-US" w:eastAsia="zh-CN" w:bidi="ar"/>
              </w:rPr>
              <w:br w:type="textWrapping"/>
            </w:r>
            <w:r>
              <w:rPr>
                <w:rStyle w:val="19"/>
                <w:lang w:val="en-US" w:eastAsia="zh-CN" w:bidi="ar"/>
              </w:rPr>
              <w:t>9.支持基于802.11k 和 802.11v协议的智能漫游，使低漫游灵敏度的客户端能漫游到最佳AP；</w:t>
            </w:r>
            <w:r>
              <w:rPr>
                <w:rStyle w:val="19"/>
                <w:lang w:val="en-US" w:eastAsia="zh-CN" w:bidi="ar"/>
              </w:rPr>
              <w:br w:type="textWrapping"/>
            </w:r>
            <w:r>
              <w:rPr>
                <w:rStyle w:val="19"/>
                <w:lang w:val="en-US" w:eastAsia="zh-CN" w:bidi="ar"/>
              </w:rPr>
              <w:t>10.本次配置AP管理授权数≥64个。</w:t>
            </w:r>
            <w:r>
              <w:rPr>
                <w:rStyle w:val="19"/>
                <w:lang w:val="en-US" w:eastAsia="zh-CN" w:bidi="ar"/>
              </w:rPr>
              <w:br w:type="textWrapping"/>
            </w:r>
            <w:r>
              <w:rPr>
                <w:rStyle w:val="19"/>
                <w:lang w:val="en-US" w:eastAsia="zh-CN" w:bidi="ar"/>
              </w:rPr>
              <w:t>11.提供原厂售后服务承诺。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9</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AC控制器</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1.支持802.11a、802.11b、802.11g、802.11n、802.11e、802.11d、802.11ac等协议，支持传输速率选择，支持信道选择，支持最大传输功率设置；</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2.支持最大管理AP数量≥128，支持最大管理用户数量≥2K，提供官网链接和截图；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3.转发性能≥4Gbps，提供官网链接和截图；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4.支持10个千兆RJ45电口+2个万兆光口，支持USB接口，配合U盘使用，可用于开局、传输配置文件、升级文件等；</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5.支持静态路由，RIP-1/RIP-2，OSPF，BGP，IS-IS，路由策略、策略路由，提供官网链接和截图；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6.支持负载分担功能，支持基于流量或用户数的AP负载分担；</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7.提供整体无线网络性能监控，支持对AC/AP/射频/终端的性能监控，并提供性能趋势分析；</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8.支持端到端可视化故障诊断，拓扑呈现网络类型，对用户/AP/AC按线索</w:t>
            </w:r>
            <w:r>
              <w:rPr>
                <w:rStyle w:val="19"/>
                <w:lang w:val="en-US" w:eastAsia="zh-CN" w:bidi="ar"/>
              </w:rPr>
              <w:t>一步步呈现故障根因和处理建议；</w:t>
            </w:r>
            <w:r>
              <w:rPr>
                <w:rStyle w:val="19"/>
                <w:lang w:val="en-US" w:eastAsia="zh-CN" w:bidi="ar"/>
              </w:rPr>
              <w:br w:type="textWrapping"/>
            </w:r>
            <w:r>
              <w:rPr>
                <w:rStyle w:val="19"/>
                <w:lang w:val="en-US" w:eastAsia="zh-CN" w:bidi="ar"/>
              </w:rPr>
              <w:t>9.支持基于802.11k 和 802.11v协议的智能漫游，使低漫游灵敏度的客户端能漫游到最佳AP；</w:t>
            </w:r>
            <w:r>
              <w:rPr>
                <w:rStyle w:val="19"/>
                <w:lang w:val="en-US" w:eastAsia="zh-CN" w:bidi="ar"/>
              </w:rPr>
              <w:br w:type="textWrapping"/>
            </w:r>
            <w:r>
              <w:rPr>
                <w:rStyle w:val="19"/>
                <w:lang w:val="en-US" w:eastAsia="zh-CN" w:bidi="ar"/>
              </w:rPr>
              <w:t>10.本次配置AP管理授权数≥64个，支持远期扩容；</w:t>
            </w:r>
            <w:r>
              <w:rPr>
                <w:rStyle w:val="19"/>
                <w:lang w:val="en-US" w:eastAsia="zh-CN" w:bidi="ar"/>
              </w:rPr>
              <w:br w:type="textWrapping"/>
            </w:r>
            <w:r>
              <w:rPr>
                <w:rStyle w:val="19"/>
                <w:lang w:val="en-US" w:eastAsia="zh-CN" w:bidi="ar"/>
              </w:rPr>
              <w:t>11.提供原厂售后服务承诺。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无线AP</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1.支持2.4GHz/5GHz双频段，所有射频均支持802.11ax标准；</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 整机最大支持8条空间流；2.4GHz射频支持802.11ax 4x4 MU-MIMO，整机最大协商速率≥5.95Gbps，支持在双射频和三射频之间做灵活切换，提供官网链接及截图；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3. 支持1个5G自适应以太口，1个GE口，支持USB接口，可用于对外供电，也可用于存储，内置智能天线，内置蓝牙5.0，支持蓝牙串口远距无线运维，支持内置扩展物联网模块，可以扩展支持Zigbee/RFID/Thread，提供官网链接及截图；</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4.支持工作在温度-10°C~50°C</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5. 支持AP零配置，AP可以通过DHCP、DNS方式自动注册到无线控制器AC</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6. 支持AP本地转发（又称直接转发）时，应用识别和QOS分类，针对业界常用的、QQ、微信等应用，能显著提升语音质量</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7. 支持云管理模式，在不更换硬件的情况下，可支持切换到云模式</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8.提供原厂售后服务承诺。</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24</w:t>
            </w:r>
          </w:p>
        </w:tc>
      </w:tr>
      <w:tr>
        <w:tblPrEx>
          <w:shd w:val="clear" w:color="auto" w:fill="auto"/>
          <w:tblCellMar>
            <w:top w:w="0" w:type="dxa"/>
            <w:left w:w="108" w:type="dxa"/>
            <w:bottom w:w="0" w:type="dxa"/>
            <w:right w:w="108" w:type="dxa"/>
          </w:tblCellMar>
        </w:tblPrEx>
        <w:trPr>
          <w:trHeight w:val="400"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三、系统集成费用（集成服务）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仿宋_GBK" w:hAnsi="方正仿宋_GBK" w:eastAsia="方正仿宋_GBK" w:cs="方正仿宋_GBK"/>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400" w:hRule="atLeast"/>
        </w:trPr>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11</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系统集成费</w:t>
            </w:r>
          </w:p>
        </w:tc>
        <w:tc>
          <w:tcPr>
            <w:tcW w:w="67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本项包含系统集成费、运输费、施工费、企业管理费、税金等所有其他费用。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830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四、网络安全服务（安全服务）</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方正仿宋_GBK" w:hAnsi="方正仿宋_GBK" w:eastAsia="方正仿宋_GBK" w:cs="方正仿宋_GBK"/>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2318"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12</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333333"/>
                <w:sz w:val="20"/>
                <w:szCs w:val="20"/>
                <w:u w:val="none"/>
              </w:rPr>
            </w:pPr>
            <w:r>
              <w:rPr>
                <w:rFonts w:hint="eastAsia" w:ascii="方正仿宋_GBK" w:hAnsi="方正仿宋_GBK" w:eastAsia="方正仿宋_GBK" w:cs="方正仿宋_GBK"/>
                <w:i w:val="0"/>
                <w:iCs w:val="0"/>
                <w:color w:val="333333"/>
                <w:kern w:val="0"/>
                <w:sz w:val="20"/>
                <w:szCs w:val="20"/>
                <w:u w:val="none"/>
                <w:lang w:val="en-US" w:eastAsia="zh-CN" w:bidi="ar"/>
              </w:rPr>
              <w:t>等保测评（3年一次）</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对网站进行网络安全等级保护测评及等备案等工作</w:t>
            </w:r>
          </w:p>
        </w:tc>
        <w:tc>
          <w:tcPr>
            <w:tcW w:w="4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项目依据国家《中华人民共和国网络安全法》、《中华人民共和国计算机信息系统安全保护条例》（国务院147号令）、《信息安全等级保护管理办法》（公通字[2007]43号）、《中华人民共和国国家标准GB/T 22239-2019 信息安全技术信息系统安全等级保护基本要求》、《中华人民共和国国家标准信息安全技术信息系统安全等级保护测评要求》、《中华人民共和国国家标准信息安全技术信息系统安全等级保护测评过程指南》、《中华人民共和国国家标准GB/T 20984-2007信息安全风险评估规范》等法规要求进行网络安全等级保护测评项目。</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评测单位要求：</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1、评测机构必须是国家网络安全等级保护测评机构（提供网络安全等级保护测评机构推荐证书扫描件）；</w:t>
            </w:r>
            <w:r>
              <w:rPr>
                <w:rFonts w:hint="eastAsia" w:ascii="方正仿宋_GBK" w:hAnsi="方正仿宋_GBK" w:eastAsia="方正仿宋_GBK" w:cs="方正仿宋_GBK"/>
                <w:i w:val="0"/>
                <w:iCs w:val="0"/>
                <w:color w:val="000000"/>
                <w:kern w:val="0"/>
                <w:sz w:val="20"/>
                <w:szCs w:val="20"/>
                <w:u w:val="none"/>
                <w:lang w:val="en-US" w:eastAsia="zh-CN" w:bidi="ar"/>
              </w:rPr>
              <w:br w:type="textWrapping"/>
            </w:r>
            <w:r>
              <w:rPr>
                <w:rFonts w:hint="eastAsia" w:ascii="方正仿宋_GBK" w:hAnsi="方正仿宋_GBK" w:eastAsia="方正仿宋_GBK" w:cs="方正仿宋_GBK"/>
                <w:i w:val="0"/>
                <w:iCs w:val="0"/>
                <w:color w:val="000000"/>
                <w:kern w:val="0"/>
                <w:sz w:val="20"/>
                <w:szCs w:val="20"/>
                <w:u w:val="none"/>
                <w:lang w:val="en-US" w:eastAsia="zh-CN" w:bidi="ar"/>
              </w:rPr>
              <w:t>2、外地测评机构必须在中国网络安全等级保护网里面的等级测评项目登记管理系统进行项目登记（提供由该管理系统打印的“等级测评项目基本情况表”扫描件）。</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2774"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333333"/>
                <w:sz w:val="20"/>
                <w:szCs w:val="20"/>
                <w:u w:val="none"/>
              </w:rPr>
            </w:pP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对集团网络进行网络安全等级保护测评及等备案等工作。</w:t>
            </w:r>
          </w:p>
        </w:tc>
        <w:tc>
          <w:tcPr>
            <w:tcW w:w="4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方正仿宋_GBK" w:hAnsi="方正仿宋_GBK" w:eastAsia="方正仿宋_GBK" w:cs="方正仿宋_GBK"/>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112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333333"/>
                <w:sz w:val="20"/>
                <w:szCs w:val="20"/>
                <w:u w:val="none"/>
              </w:rPr>
            </w:pP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对协同办公平台进行网络安全等级保护测评及等备案等工作。</w:t>
            </w:r>
          </w:p>
        </w:tc>
        <w:tc>
          <w:tcPr>
            <w:tcW w:w="4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方正仿宋_GBK" w:hAnsi="方正仿宋_GBK" w:eastAsia="方正仿宋_GBK" w:cs="方正仿宋_GBK"/>
                <w:i w:val="0"/>
                <w:iCs w:val="0"/>
                <w:color w:val="000000"/>
                <w:sz w:val="20"/>
                <w:szCs w:val="20"/>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r>
      <w:tr>
        <w:tblPrEx>
          <w:shd w:val="clear" w:color="auto" w:fill="auto"/>
          <w:tblCellMar>
            <w:top w:w="0" w:type="dxa"/>
            <w:left w:w="108" w:type="dxa"/>
            <w:bottom w:w="0" w:type="dxa"/>
            <w:right w:w="108" w:type="dxa"/>
          </w:tblCellMar>
        </w:tblPrEx>
        <w:trPr>
          <w:trHeight w:val="400" w:hRule="atLeast"/>
        </w:trPr>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13</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安全服务</w:t>
            </w: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漏洞管理服务4次/年</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按季度开展网络安全漏洞管理服务，包含对内部网络、主机、系统、中间件、应用等进行专业漏洞扫描。出具网络安全报告，提供整改建议，并协助集团或第三方单位整改。</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1</w:t>
            </w:r>
          </w:p>
        </w:tc>
      </w:tr>
      <w:tr>
        <w:tblPrEx>
          <w:shd w:val="clear" w:color="auto" w:fill="auto"/>
          <w:tblCellMar>
            <w:top w:w="0" w:type="dxa"/>
            <w:left w:w="108" w:type="dxa"/>
            <w:bottom w:w="0" w:type="dxa"/>
            <w:right w:w="108" w:type="dxa"/>
          </w:tblCellMar>
        </w:tblPrEx>
        <w:trPr>
          <w:trHeight w:val="400" w:hRule="atLeast"/>
        </w:trPr>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c>
          <w:tcPr>
            <w:tcW w:w="20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重点保障服务1年</w:t>
            </w:r>
          </w:p>
        </w:tc>
        <w:tc>
          <w:tcPr>
            <w:tcW w:w="47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0"/>
                <w:szCs w:val="20"/>
                <w:u w:val="none"/>
              </w:rPr>
            </w:pPr>
            <w:r>
              <w:rPr>
                <w:rFonts w:hint="eastAsia" w:ascii="方正仿宋_GBK" w:hAnsi="方正仿宋_GBK" w:eastAsia="方正仿宋_GBK" w:cs="方正仿宋_GBK"/>
                <w:i w:val="0"/>
                <w:iCs w:val="0"/>
                <w:color w:val="000000"/>
                <w:kern w:val="0"/>
                <w:sz w:val="20"/>
                <w:szCs w:val="20"/>
                <w:u w:val="none"/>
                <w:lang w:val="en-US" w:eastAsia="zh-CN" w:bidi="ar"/>
              </w:rPr>
              <w:t>面向集团重点工作或节点，开展重点保障服务工作，协助开展网络安全隐患评估、问题整改、迎检筹备。</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方正仿宋_GBK" w:hAnsi="方正仿宋_GBK" w:eastAsia="方正仿宋_GBK" w:cs="方正仿宋_GBK"/>
                <w:i w:val="0"/>
                <w:iCs w:val="0"/>
                <w:color w:val="000000"/>
                <w:sz w:val="20"/>
                <w:szCs w:val="20"/>
                <w:u w:val="none"/>
              </w:rPr>
            </w:pPr>
          </w:p>
        </w:tc>
      </w:tr>
    </w:tbl>
    <w:p>
      <w:pPr>
        <w:rPr>
          <w:rFonts w:hint="default"/>
          <w:lang w:val="en-US" w:eastAsia="zh-CN"/>
        </w:rPr>
      </w:pPr>
      <w:r>
        <w:rPr>
          <w:rFonts w:hint="default"/>
          <w:lang w:val="en-US" w:eastAsia="zh-CN"/>
        </w:rPr>
        <w:br w:type="page"/>
      </w:r>
      <w:bookmarkStart w:id="1" w:name="_GoBack"/>
      <w:bookmarkEnd w:id="1"/>
    </w:p>
    <w:p>
      <w:pPr>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比选文件格式</w:t>
      </w:r>
    </w:p>
    <w:p>
      <w:pPr>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格式一   比 选 函</w:t>
      </w:r>
    </w:p>
    <w:p>
      <w:pPr>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u w:val="single"/>
        </w:rPr>
        <w:t xml:space="preserve">   重庆城市综合交通枢纽（集团）有限公司  ：</w:t>
      </w:r>
    </w:p>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根据贵方</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项目的比选函文件，本公司正式授权的下述签字人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（姓名和职务）代表本公司</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（比选被邀请人名称），提交本比选函。</w:t>
      </w:r>
    </w:p>
    <w:p>
      <w:pPr>
        <w:rPr>
          <w:rFonts w:hint="eastAsia" w:ascii="方正仿宋_GBK" w:hAnsi="方正仿宋_GBK" w:eastAsia="方正仿宋_GBK" w:cs="方正仿宋_GBK"/>
        </w:rPr>
      </w:pPr>
      <w:r>
        <w:rPr>
          <w:rFonts w:hint="eastAsia" w:ascii="方正仿宋_GBK" w:hAnsi="方正仿宋_GBK" w:eastAsia="方正仿宋_GBK" w:cs="方正仿宋_GBK"/>
          <w:sz w:val="28"/>
          <w:szCs w:val="28"/>
        </w:rPr>
        <w:t>据此函，签字人兹宣布同意如下：</w:t>
      </w:r>
    </w:p>
    <w:p>
      <w:pPr>
        <w:ind w:firstLine="57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 我司愿意按比选文件中的一切要求，提供本项目的交货及技术服务，总报价为人民币大写____________元整；人民币小写___________元。以我公司最后报价为准。</w:t>
      </w:r>
    </w:p>
    <w:p>
      <w:pPr>
        <w:ind w:firstLine="57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(2)我司承诺满足贵单位比选邀请函中的“比选被邀请人资格要求”</w:t>
      </w:r>
      <w:r>
        <w:rPr>
          <w:rFonts w:hint="eastAsia" w:ascii="方正仿宋_GBK" w:hAnsi="方正仿宋_GBK" w:eastAsia="方正仿宋_GBK" w:cs="方正仿宋_GBK"/>
          <w:sz w:val="28"/>
          <w:szCs w:val="28"/>
        </w:rPr>
        <w:sym w:font="Wingdings" w:char="00A8"/>
      </w:r>
      <w:r>
        <w:rPr>
          <w:rFonts w:hint="eastAsia" w:ascii="方正仿宋_GBK" w:hAnsi="方正仿宋_GBK" w:eastAsia="方正仿宋_GBK" w:cs="方正仿宋_GBK"/>
          <w:sz w:val="28"/>
          <w:szCs w:val="28"/>
        </w:rPr>
        <w:t xml:space="preserve">资质要求  </w:t>
      </w:r>
      <w:r>
        <w:rPr>
          <w:rFonts w:hint="eastAsia" w:ascii="方正仿宋_GBK" w:hAnsi="方正仿宋_GBK" w:eastAsia="方正仿宋_GBK" w:cs="方正仿宋_GBK"/>
          <w:sz w:val="28"/>
          <w:szCs w:val="28"/>
        </w:rPr>
        <w:sym w:font="Wingdings" w:char="00A8"/>
      </w:r>
      <w:r>
        <w:rPr>
          <w:rFonts w:hint="eastAsia" w:ascii="方正仿宋_GBK" w:hAnsi="方正仿宋_GBK" w:eastAsia="方正仿宋_GBK" w:cs="方正仿宋_GBK"/>
          <w:sz w:val="28"/>
          <w:szCs w:val="28"/>
        </w:rPr>
        <w:t>业绩要求 （勾选）</w:t>
      </w:r>
    </w:p>
    <w:p>
      <w:pP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(3)</w:t>
      </w:r>
      <w:r>
        <w:rPr>
          <w:rFonts w:hint="eastAsia" w:ascii="方正仿宋_GBK" w:hAnsi="方正仿宋_GBK" w:eastAsia="方正仿宋_GBK" w:cs="方正仿宋_GBK"/>
          <w:bCs/>
          <w:kern w:val="0"/>
          <w:sz w:val="28"/>
          <w:szCs w:val="28"/>
        </w:rPr>
        <w:t>我司完全理解和接受贵方</w:t>
      </w:r>
      <w:r>
        <w:rPr>
          <w:rFonts w:hint="eastAsia" w:ascii="方正仿宋_GBK" w:hAnsi="方正仿宋_GBK" w:eastAsia="方正仿宋_GBK" w:cs="方正仿宋_GBK"/>
          <w:sz w:val="28"/>
          <w:szCs w:val="28"/>
        </w:rPr>
        <w:t>比选</w:t>
      </w:r>
      <w:r>
        <w:rPr>
          <w:rFonts w:hint="eastAsia" w:ascii="方正仿宋_GBK" w:hAnsi="方正仿宋_GBK" w:eastAsia="方正仿宋_GBK" w:cs="方正仿宋_GBK"/>
          <w:bCs/>
          <w:kern w:val="0"/>
          <w:sz w:val="28"/>
          <w:szCs w:val="28"/>
        </w:rPr>
        <w:t>文件的一切规定和要求及评审办法。</w:t>
      </w:r>
    </w:p>
    <w:p>
      <w:pPr>
        <w:ind w:firstLine="57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(4)我司保证根据规定履行合同责任和义务，不得要求变更我司所填报的报价。</w:t>
      </w:r>
    </w:p>
    <w:p>
      <w:pPr>
        <w:ind w:firstLine="570"/>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(5)本比选函自开启之日起至项目全部完成之内有效。</w:t>
      </w:r>
    </w:p>
    <w:p>
      <w:pPr>
        <w:pStyle w:val="2"/>
        <w:rPr>
          <w:rFonts w:hint="eastAsia"/>
        </w:rPr>
      </w:pPr>
    </w:p>
    <w:p>
      <w:pPr>
        <w:spacing w:line="42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报价人全称（公章）： </w:t>
      </w:r>
    </w:p>
    <w:p>
      <w:pPr>
        <w:spacing w:line="42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通信地址：                              </w:t>
      </w:r>
    </w:p>
    <w:p>
      <w:pPr>
        <w:spacing w:line="42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电话、传真：</w:t>
      </w:r>
    </w:p>
    <w:p>
      <w:pPr>
        <w:spacing w:line="42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报价人法定代表人或授权代理人签字：</w:t>
      </w:r>
    </w:p>
    <w:p>
      <w:pPr>
        <w:spacing w:line="420" w:lineRule="exac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日期： </w:t>
      </w:r>
    </w:p>
    <w:p>
      <w:pPr>
        <w:widowControl/>
        <w:snapToGrid w:val="0"/>
        <w:spacing w:before="100" w:beforeAutospacing="1" w:after="100" w:afterAutospacing="1" w:line="500" w:lineRule="exact"/>
        <w:ind w:firstLine="560" w:firstLineChars="200"/>
        <w:contextualSpacing/>
        <w:jc w:val="left"/>
        <w:textAlignment w:val="bottom"/>
        <w:rPr>
          <w:rFonts w:hint="eastAsia" w:ascii="方正仿宋_GBK" w:hAnsi="方正仿宋_GBK" w:eastAsia="方正仿宋_GBK" w:cs="方正仿宋_GBK"/>
          <w:sz w:val="28"/>
          <w:szCs w:val="28"/>
        </w:rPr>
        <w:sectPr>
          <w:pgSz w:w="11906" w:h="16838"/>
          <w:pgMar w:top="1440" w:right="1440" w:bottom="1440" w:left="1440" w:header="851" w:footer="992" w:gutter="0"/>
          <w:cols w:space="425" w:num="1"/>
          <w:docGrid w:type="lines" w:linePitch="312" w:charSpace="0"/>
        </w:sectPr>
      </w:pPr>
      <w:r>
        <w:rPr>
          <w:rFonts w:hint="eastAsia" w:ascii="方正仿宋_GBK" w:hAnsi="方正仿宋_GBK" w:eastAsia="方正仿宋_GBK" w:cs="方正仿宋_GBK"/>
          <w:sz w:val="28"/>
          <w:szCs w:val="28"/>
        </w:rPr>
        <w:br w:type="page"/>
      </w:r>
    </w:p>
    <w:p>
      <w:pPr>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格式二  报价清单</w:t>
      </w:r>
    </w:p>
    <w:p>
      <w:pPr>
        <w:pStyle w:val="2"/>
        <w:rPr>
          <w:rFonts w:hint="eastAsia"/>
        </w:rPr>
      </w:pP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423"/>
        <w:gridCol w:w="1276"/>
        <w:gridCol w:w="1559"/>
        <w:gridCol w:w="1868"/>
        <w:gridCol w:w="1417"/>
        <w:gridCol w:w="1426"/>
        <w:gridCol w:w="1525"/>
        <w:gridCol w:w="1701"/>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序号</w:t>
            </w:r>
          </w:p>
        </w:tc>
        <w:tc>
          <w:tcPr>
            <w:tcW w:w="502"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项目</w:t>
            </w:r>
          </w:p>
        </w:tc>
        <w:tc>
          <w:tcPr>
            <w:tcW w:w="450"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品牌</w:t>
            </w:r>
          </w:p>
        </w:tc>
        <w:tc>
          <w:tcPr>
            <w:tcW w:w="550"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型号</w:t>
            </w:r>
          </w:p>
        </w:tc>
        <w:tc>
          <w:tcPr>
            <w:tcW w:w="659"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主要参数</w:t>
            </w:r>
          </w:p>
        </w:tc>
        <w:tc>
          <w:tcPr>
            <w:tcW w:w="500"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单位</w:t>
            </w:r>
          </w:p>
        </w:tc>
        <w:tc>
          <w:tcPr>
            <w:tcW w:w="503"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数量</w:t>
            </w:r>
          </w:p>
        </w:tc>
        <w:tc>
          <w:tcPr>
            <w:tcW w:w="538"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单价</w:t>
            </w:r>
          </w:p>
        </w:tc>
        <w:tc>
          <w:tcPr>
            <w:tcW w:w="600"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合价</w:t>
            </w:r>
          </w:p>
        </w:tc>
        <w:tc>
          <w:tcPr>
            <w:tcW w:w="362" w:type="pct"/>
          </w:tcPr>
          <w:p>
            <w:pPr>
              <w:jc w:val="center"/>
              <w:rPr>
                <w:rFonts w:ascii="方正仿宋_GBK" w:hAnsi="仿宋_GB2312" w:eastAsia="方正仿宋_GBK" w:cs="仿宋_GB2312"/>
                <w:b/>
                <w:bCs/>
                <w:color w:val="auto"/>
                <w:sz w:val="24"/>
                <w:szCs w:val="24"/>
              </w:rPr>
            </w:pPr>
            <w:r>
              <w:rPr>
                <w:rFonts w:hint="eastAsia" w:ascii="方正仿宋_GBK" w:hAnsi="仿宋_GB2312" w:eastAsia="方正仿宋_GBK" w:cs="仿宋_GB2312"/>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jc w:val="center"/>
              <w:rPr>
                <w:rFonts w:ascii="方正仿宋_GBK" w:hAnsi="仿宋_GB2312" w:eastAsia="方正仿宋_GBK" w:cs="仿宋_GB2312"/>
                <w:color w:val="auto"/>
                <w:sz w:val="24"/>
                <w:szCs w:val="24"/>
              </w:rPr>
            </w:pPr>
            <w:r>
              <w:rPr>
                <w:rFonts w:ascii="方正仿宋_GBK" w:hAnsi="仿宋_GB2312" w:eastAsia="方正仿宋_GBK" w:cs="仿宋_GB2312"/>
                <w:color w:val="auto"/>
                <w:sz w:val="24"/>
                <w:szCs w:val="24"/>
              </w:rPr>
              <w:t>1</w:t>
            </w:r>
          </w:p>
        </w:tc>
        <w:tc>
          <w:tcPr>
            <w:tcW w:w="502" w:type="pct"/>
          </w:tcPr>
          <w:p>
            <w:pPr>
              <w:jc w:val="center"/>
              <w:rPr>
                <w:rFonts w:ascii="方正仿宋_GBK" w:hAnsi="仿宋_GB2312" w:eastAsia="方正仿宋_GBK" w:cs="仿宋_GB2312"/>
                <w:color w:val="auto"/>
                <w:sz w:val="24"/>
                <w:szCs w:val="24"/>
              </w:rPr>
            </w:pPr>
          </w:p>
        </w:tc>
        <w:tc>
          <w:tcPr>
            <w:tcW w:w="450" w:type="pct"/>
          </w:tcPr>
          <w:p>
            <w:pPr>
              <w:jc w:val="center"/>
              <w:rPr>
                <w:rFonts w:ascii="方正仿宋_GBK" w:hAnsi="仿宋_GB2312" w:eastAsia="方正仿宋_GBK" w:cs="仿宋_GB2312"/>
                <w:color w:val="auto"/>
                <w:sz w:val="24"/>
                <w:szCs w:val="24"/>
              </w:rPr>
            </w:pPr>
          </w:p>
        </w:tc>
        <w:tc>
          <w:tcPr>
            <w:tcW w:w="550" w:type="pct"/>
          </w:tcPr>
          <w:p>
            <w:pPr>
              <w:jc w:val="center"/>
              <w:rPr>
                <w:rFonts w:ascii="方正仿宋_GBK" w:hAnsi="仿宋_GB2312" w:eastAsia="方正仿宋_GBK" w:cs="仿宋_GB2312"/>
                <w:color w:val="auto"/>
                <w:sz w:val="24"/>
                <w:szCs w:val="24"/>
              </w:rPr>
            </w:pPr>
          </w:p>
        </w:tc>
        <w:tc>
          <w:tcPr>
            <w:tcW w:w="659" w:type="pct"/>
          </w:tcPr>
          <w:p>
            <w:pPr>
              <w:jc w:val="center"/>
              <w:rPr>
                <w:rFonts w:ascii="方正仿宋_GBK" w:hAnsi="仿宋_GB2312" w:eastAsia="方正仿宋_GBK" w:cs="仿宋_GB2312"/>
                <w:color w:val="auto"/>
                <w:sz w:val="24"/>
                <w:szCs w:val="24"/>
              </w:rPr>
            </w:pPr>
          </w:p>
        </w:tc>
        <w:tc>
          <w:tcPr>
            <w:tcW w:w="500" w:type="pct"/>
          </w:tcPr>
          <w:p>
            <w:pPr>
              <w:jc w:val="center"/>
              <w:rPr>
                <w:rFonts w:ascii="方正仿宋_GBK" w:hAnsi="仿宋_GB2312" w:eastAsia="方正仿宋_GBK" w:cs="仿宋_GB2312"/>
                <w:color w:val="auto"/>
                <w:sz w:val="24"/>
                <w:szCs w:val="24"/>
              </w:rPr>
            </w:pPr>
          </w:p>
        </w:tc>
        <w:tc>
          <w:tcPr>
            <w:tcW w:w="503" w:type="pct"/>
          </w:tcPr>
          <w:p>
            <w:pPr>
              <w:jc w:val="center"/>
              <w:rPr>
                <w:rFonts w:ascii="方正仿宋_GBK" w:hAnsi="仿宋_GB2312" w:eastAsia="方正仿宋_GBK" w:cs="仿宋_GB2312"/>
                <w:color w:val="auto"/>
                <w:sz w:val="24"/>
                <w:szCs w:val="24"/>
              </w:rPr>
            </w:pPr>
          </w:p>
        </w:tc>
        <w:tc>
          <w:tcPr>
            <w:tcW w:w="538" w:type="pct"/>
          </w:tcPr>
          <w:p>
            <w:pPr>
              <w:jc w:val="center"/>
              <w:rPr>
                <w:rFonts w:ascii="方正仿宋_GBK" w:hAnsi="仿宋_GB2312" w:eastAsia="方正仿宋_GBK" w:cs="仿宋_GB2312"/>
                <w:color w:val="auto"/>
                <w:sz w:val="24"/>
                <w:szCs w:val="24"/>
              </w:rPr>
            </w:pPr>
          </w:p>
        </w:tc>
        <w:tc>
          <w:tcPr>
            <w:tcW w:w="600" w:type="pct"/>
          </w:tcPr>
          <w:p>
            <w:pPr>
              <w:jc w:val="center"/>
              <w:rPr>
                <w:rFonts w:ascii="方正仿宋_GBK" w:hAnsi="仿宋_GB2312" w:eastAsia="方正仿宋_GBK" w:cs="仿宋_GB2312"/>
                <w:color w:val="auto"/>
                <w:sz w:val="24"/>
                <w:szCs w:val="24"/>
              </w:rPr>
            </w:pPr>
          </w:p>
        </w:tc>
        <w:tc>
          <w:tcPr>
            <w:tcW w:w="362" w:type="pct"/>
          </w:tcPr>
          <w:p>
            <w:pPr>
              <w:jc w:val="center"/>
              <w:rPr>
                <w:rFonts w:ascii="方正仿宋_GBK" w:hAnsi="仿宋_GB2312" w:eastAsia="方正仿宋_GBK"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jc w:val="center"/>
              <w:rPr>
                <w:rFonts w:ascii="方正仿宋_GBK" w:hAnsi="仿宋_GB2312" w:eastAsia="方正仿宋_GBK" w:cs="仿宋_GB2312"/>
                <w:color w:val="auto"/>
                <w:sz w:val="24"/>
                <w:szCs w:val="24"/>
              </w:rPr>
            </w:pPr>
            <w:r>
              <w:rPr>
                <w:rFonts w:ascii="方正仿宋_GBK" w:hAnsi="仿宋_GB2312" w:eastAsia="方正仿宋_GBK" w:cs="仿宋_GB2312"/>
                <w:color w:val="auto"/>
                <w:sz w:val="24"/>
                <w:szCs w:val="24"/>
              </w:rPr>
              <w:t>2</w:t>
            </w:r>
          </w:p>
        </w:tc>
        <w:tc>
          <w:tcPr>
            <w:tcW w:w="502" w:type="pct"/>
          </w:tcPr>
          <w:p>
            <w:pPr>
              <w:jc w:val="center"/>
              <w:rPr>
                <w:rFonts w:ascii="方正仿宋_GBK" w:hAnsi="仿宋_GB2312" w:eastAsia="方正仿宋_GBK" w:cs="仿宋_GB2312"/>
                <w:color w:val="auto"/>
                <w:sz w:val="24"/>
                <w:szCs w:val="24"/>
              </w:rPr>
            </w:pPr>
          </w:p>
        </w:tc>
        <w:tc>
          <w:tcPr>
            <w:tcW w:w="450" w:type="pct"/>
          </w:tcPr>
          <w:p>
            <w:pPr>
              <w:jc w:val="center"/>
              <w:rPr>
                <w:rFonts w:ascii="方正仿宋_GBK" w:hAnsi="仿宋_GB2312" w:eastAsia="方正仿宋_GBK" w:cs="仿宋_GB2312"/>
                <w:color w:val="auto"/>
                <w:sz w:val="24"/>
                <w:szCs w:val="24"/>
              </w:rPr>
            </w:pPr>
          </w:p>
        </w:tc>
        <w:tc>
          <w:tcPr>
            <w:tcW w:w="550" w:type="pct"/>
          </w:tcPr>
          <w:p>
            <w:pPr>
              <w:jc w:val="center"/>
              <w:rPr>
                <w:rFonts w:ascii="方正仿宋_GBK" w:hAnsi="仿宋_GB2312" w:eastAsia="方正仿宋_GBK" w:cs="仿宋_GB2312"/>
                <w:color w:val="auto"/>
                <w:sz w:val="24"/>
                <w:szCs w:val="24"/>
              </w:rPr>
            </w:pPr>
          </w:p>
        </w:tc>
        <w:tc>
          <w:tcPr>
            <w:tcW w:w="659" w:type="pct"/>
          </w:tcPr>
          <w:p>
            <w:pPr>
              <w:jc w:val="center"/>
              <w:rPr>
                <w:rFonts w:ascii="方正仿宋_GBK" w:hAnsi="仿宋_GB2312" w:eastAsia="方正仿宋_GBK" w:cs="仿宋_GB2312"/>
                <w:color w:val="auto"/>
                <w:sz w:val="24"/>
                <w:szCs w:val="24"/>
              </w:rPr>
            </w:pPr>
          </w:p>
        </w:tc>
        <w:tc>
          <w:tcPr>
            <w:tcW w:w="500" w:type="pct"/>
          </w:tcPr>
          <w:p>
            <w:pPr>
              <w:jc w:val="center"/>
              <w:rPr>
                <w:rFonts w:ascii="方正仿宋_GBK" w:hAnsi="仿宋_GB2312" w:eastAsia="方正仿宋_GBK" w:cs="仿宋_GB2312"/>
                <w:color w:val="auto"/>
                <w:sz w:val="24"/>
                <w:szCs w:val="24"/>
              </w:rPr>
            </w:pPr>
          </w:p>
        </w:tc>
        <w:tc>
          <w:tcPr>
            <w:tcW w:w="503" w:type="pct"/>
          </w:tcPr>
          <w:p>
            <w:pPr>
              <w:jc w:val="center"/>
              <w:rPr>
                <w:rFonts w:ascii="方正仿宋_GBK" w:hAnsi="仿宋_GB2312" w:eastAsia="方正仿宋_GBK" w:cs="仿宋_GB2312"/>
                <w:color w:val="auto"/>
                <w:sz w:val="24"/>
                <w:szCs w:val="24"/>
              </w:rPr>
            </w:pPr>
          </w:p>
        </w:tc>
        <w:tc>
          <w:tcPr>
            <w:tcW w:w="538" w:type="pct"/>
          </w:tcPr>
          <w:p>
            <w:pPr>
              <w:jc w:val="center"/>
              <w:rPr>
                <w:rFonts w:ascii="方正仿宋_GBK" w:hAnsi="仿宋_GB2312" w:eastAsia="方正仿宋_GBK" w:cs="仿宋_GB2312"/>
                <w:color w:val="auto"/>
                <w:sz w:val="24"/>
                <w:szCs w:val="24"/>
              </w:rPr>
            </w:pPr>
          </w:p>
        </w:tc>
        <w:tc>
          <w:tcPr>
            <w:tcW w:w="600" w:type="pct"/>
          </w:tcPr>
          <w:p>
            <w:pPr>
              <w:jc w:val="center"/>
              <w:rPr>
                <w:rFonts w:ascii="方正仿宋_GBK" w:hAnsi="仿宋_GB2312" w:eastAsia="方正仿宋_GBK" w:cs="仿宋_GB2312"/>
                <w:color w:val="auto"/>
                <w:sz w:val="24"/>
                <w:szCs w:val="24"/>
              </w:rPr>
            </w:pPr>
          </w:p>
        </w:tc>
        <w:tc>
          <w:tcPr>
            <w:tcW w:w="362" w:type="pct"/>
          </w:tcPr>
          <w:p>
            <w:pPr>
              <w:jc w:val="center"/>
              <w:rPr>
                <w:rFonts w:ascii="方正仿宋_GBK" w:hAnsi="仿宋_GB2312" w:eastAsia="方正仿宋_GBK"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jc w:val="center"/>
              <w:rPr>
                <w:rFonts w:ascii="方正仿宋_GBK" w:hAnsi="仿宋_GB2312" w:eastAsia="方正仿宋_GBK" w:cs="仿宋_GB2312"/>
                <w:color w:val="auto"/>
                <w:sz w:val="24"/>
                <w:szCs w:val="24"/>
              </w:rPr>
            </w:pPr>
            <w:r>
              <w:rPr>
                <w:rFonts w:ascii="方正仿宋_GBK" w:hAnsi="仿宋_GB2312" w:eastAsia="方正仿宋_GBK" w:cs="仿宋_GB2312"/>
                <w:color w:val="auto"/>
                <w:sz w:val="24"/>
                <w:szCs w:val="24"/>
              </w:rPr>
              <w:t>3</w:t>
            </w:r>
          </w:p>
        </w:tc>
        <w:tc>
          <w:tcPr>
            <w:tcW w:w="502" w:type="pct"/>
          </w:tcPr>
          <w:p>
            <w:pPr>
              <w:jc w:val="center"/>
              <w:rPr>
                <w:rFonts w:ascii="方正仿宋_GBK" w:hAnsi="仿宋_GB2312" w:eastAsia="方正仿宋_GBK" w:cs="仿宋_GB2312"/>
                <w:color w:val="auto"/>
                <w:sz w:val="24"/>
                <w:szCs w:val="24"/>
              </w:rPr>
            </w:pPr>
          </w:p>
        </w:tc>
        <w:tc>
          <w:tcPr>
            <w:tcW w:w="450" w:type="pct"/>
          </w:tcPr>
          <w:p>
            <w:pPr>
              <w:jc w:val="center"/>
              <w:rPr>
                <w:rFonts w:ascii="方正仿宋_GBK" w:hAnsi="仿宋_GB2312" w:eastAsia="方正仿宋_GBK" w:cs="仿宋_GB2312"/>
                <w:color w:val="auto"/>
                <w:sz w:val="24"/>
                <w:szCs w:val="24"/>
              </w:rPr>
            </w:pPr>
          </w:p>
        </w:tc>
        <w:tc>
          <w:tcPr>
            <w:tcW w:w="550" w:type="pct"/>
          </w:tcPr>
          <w:p>
            <w:pPr>
              <w:jc w:val="center"/>
              <w:rPr>
                <w:rFonts w:ascii="方正仿宋_GBK" w:hAnsi="仿宋_GB2312" w:eastAsia="方正仿宋_GBK" w:cs="仿宋_GB2312"/>
                <w:color w:val="auto"/>
                <w:sz w:val="24"/>
                <w:szCs w:val="24"/>
              </w:rPr>
            </w:pPr>
          </w:p>
        </w:tc>
        <w:tc>
          <w:tcPr>
            <w:tcW w:w="659" w:type="pct"/>
          </w:tcPr>
          <w:p>
            <w:pPr>
              <w:jc w:val="center"/>
              <w:rPr>
                <w:rFonts w:ascii="方正仿宋_GBK" w:hAnsi="仿宋_GB2312" w:eastAsia="方正仿宋_GBK" w:cs="仿宋_GB2312"/>
                <w:color w:val="auto"/>
                <w:sz w:val="24"/>
                <w:szCs w:val="24"/>
              </w:rPr>
            </w:pPr>
          </w:p>
        </w:tc>
        <w:tc>
          <w:tcPr>
            <w:tcW w:w="500" w:type="pct"/>
          </w:tcPr>
          <w:p>
            <w:pPr>
              <w:jc w:val="center"/>
              <w:rPr>
                <w:rFonts w:ascii="方正仿宋_GBK" w:hAnsi="仿宋_GB2312" w:eastAsia="方正仿宋_GBK" w:cs="仿宋_GB2312"/>
                <w:color w:val="auto"/>
                <w:sz w:val="24"/>
                <w:szCs w:val="24"/>
              </w:rPr>
            </w:pPr>
          </w:p>
        </w:tc>
        <w:tc>
          <w:tcPr>
            <w:tcW w:w="503" w:type="pct"/>
          </w:tcPr>
          <w:p>
            <w:pPr>
              <w:jc w:val="center"/>
              <w:rPr>
                <w:rFonts w:ascii="方正仿宋_GBK" w:hAnsi="仿宋_GB2312" w:eastAsia="方正仿宋_GBK" w:cs="仿宋_GB2312"/>
                <w:color w:val="auto"/>
                <w:sz w:val="24"/>
                <w:szCs w:val="24"/>
              </w:rPr>
            </w:pPr>
          </w:p>
        </w:tc>
        <w:tc>
          <w:tcPr>
            <w:tcW w:w="538" w:type="pct"/>
          </w:tcPr>
          <w:p>
            <w:pPr>
              <w:jc w:val="center"/>
              <w:rPr>
                <w:rFonts w:ascii="方正仿宋_GBK" w:hAnsi="仿宋_GB2312" w:eastAsia="方正仿宋_GBK" w:cs="仿宋_GB2312"/>
                <w:color w:val="auto"/>
                <w:sz w:val="24"/>
                <w:szCs w:val="24"/>
              </w:rPr>
            </w:pPr>
          </w:p>
        </w:tc>
        <w:tc>
          <w:tcPr>
            <w:tcW w:w="600" w:type="pct"/>
          </w:tcPr>
          <w:p>
            <w:pPr>
              <w:jc w:val="center"/>
              <w:rPr>
                <w:rFonts w:ascii="方正仿宋_GBK" w:hAnsi="仿宋_GB2312" w:eastAsia="方正仿宋_GBK" w:cs="仿宋_GB2312"/>
                <w:color w:val="auto"/>
                <w:sz w:val="24"/>
                <w:szCs w:val="24"/>
              </w:rPr>
            </w:pPr>
          </w:p>
        </w:tc>
        <w:tc>
          <w:tcPr>
            <w:tcW w:w="362" w:type="pct"/>
          </w:tcPr>
          <w:p>
            <w:pPr>
              <w:jc w:val="center"/>
              <w:rPr>
                <w:rFonts w:ascii="方正仿宋_GBK" w:hAnsi="仿宋_GB2312" w:eastAsia="方正仿宋_GBK"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jc w:val="center"/>
              <w:rPr>
                <w:rFonts w:ascii="方正仿宋_GBK" w:hAnsi="仿宋_GB2312" w:eastAsia="方正仿宋_GBK" w:cs="仿宋_GB2312"/>
                <w:color w:val="auto"/>
                <w:sz w:val="24"/>
                <w:szCs w:val="24"/>
              </w:rPr>
            </w:pPr>
            <w:r>
              <w:rPr>
                <w:rFonts w:ascii="方正仿宋_GBK" w:hAnsi="仿宋_GB2312" w:eastAsia="方正仿宋_GBK" w:cs="仿宋_GB2312"/>
                <w:color w:val="auto"/>
                <w:sz w:val="24"/>
                <w:szCs w:val="24"/>
              </w:rPr>
              <w:t>4</w:t>
            </w:r>
          </w:p>
        </w:tc>
        <w:tc>
          <w:tcPr>
            <w:tcW w:w="502" w:type="pct"/>
          </w:tcPr>
          <w:p>
            <w:pPr>
              <w:jc w:val="center"/>
              <w:rPr>
                <w:rFonts w:ascii="方正仿宋_GBK" w:hAnsi="仿宋_GB2312" w:eastAsia="方正仿宋_GBK" w:cs="仿宋_GB2312"/>
                <w:color w:val="auto"/>
                <w:sz w:val="24"/>
                <w:szCs w:val="24"/>
              </w:rPr>
            </w:pPr>
          </w:p>
        </w:tc>
        <w:tc>
          <w:tcPr>
            <w:tcW w:w="450" w:type="pct"/>
          </w:tcPr>
          <w:p>
            <w:pPr>
              <w:jc w:val="center"/>
              <w:rPr>
                <w:rFonts w:ascii="方正仿宋_GBK" w:hAnsi="仿宋_GB2312" w:eastAsia="方正仿宋_GBK" w:cs="仿宋_GB2312"/>
                <w:color w:val="auto"/>
                <w:sz w:val="24"/>
                <w:szCs w:val="24"/>
              </w:rPr>
            </w:pPr>
          </w:p>
        </w:tc>
        <w:tc>
          <w:tcPr>
            <w:tcW w:w="550" w:type="pct"/>
          </w:tcPr>
          <w:p>
            <w:pPr>
              <w:jc w:val="center"/>
              <w:rPr>
                <w:rFonts w:ascii="方正仿宋_GBK" w:hAnsi="仿宋_GB2312" w:eastAsia="方正仿宋_GBK" w:cs="仿宋_GB2312"/>
                <w:color w:val="auto"/>
                <w:sz w:val="24"/>
                <w:szCs w:val="24"/>
              </w:rPr>
            </w:pPr>
          </w:p>
        </w:tc>
        <w:tc>
          <w:tcPr>
            <w:tcW w:w="659" w:type="pct"/>
          </w:tcPr>
          <w:p>
            <w:pPr>
              <w:jc w:val="center"/>
              <w:rPr>
                <w:rFonts w:ascii="方正仿宋_GBK" w:hAnsi="仿宋_GB2312" w:eastAsia="方正仿宋_GBK" w:cs="仿宋_GB2312"/>
                <w:color w:val="auto"/>
                <w:sz w:val="24"/>
                <w:szCs w:val="24"/>
              </w:rPr>
            </w:pPr>
          </w:p>
        </w:tc>
        <w:tc>
          <w:tcPr>
            <w:tcW w:w="500" w:type="pct"/>
          </w:tcPr>
          <w:p>
            <w:pPr>
              <w:jc w:val="center"/>
              <w:rPr>
                <w:rFonts w:ascii="方正仿宋_GBK" w:hAnsi="仿宋_GB2312" w:eastAsia="方正仿宋_GBK" w:cs="仿宋_GB2312"/>
                <w:color w:val="auto"/>
                <w:sz w:val="24"/>
                <w:szCs w:val="24"/>
              </w:rPr>
            </w:pPr>
          </w:p>
        </w:tc>
        <w:tc>
          <w:tcPr>
            <w:tcW w:w="503" w:type="pct"/>
          </w:tcPr>
          <w:p>
            <w:pPr>
              <w:jc w:val="center"/>
              <w:rPr>
                <w:rFonts w:ascii="方正仿宋_GBK" w:hAnsi="仿宋_GB2312" w:eastAsia="方正仿宋_GBK" w:cs="仿宋_GB2312"/>
                <w:color w:val="auto"/>
                <w:sz w:val="24"/>
                <w:szCs w:val="24"/>
              </w:rPr>
            </w:pPr>
          </w:p>
        </w:tc>
        <w:tc>
          <w:tcPr>
            <w:tcW w:w="538" w:type="pct"/>
          </w:tcPr>
          <w:p>
            <w:pPr>
              <w:jc w:val="center"/>
              <w:rPr>
                <w:rFonts w:ascii="方正仿宋_GBK" w:hAnsi="仿宋_GB2312" w:eastAsia="方正仿宋_GBK" w:cs="仿宋_GB2312"/>
                <w:color w:val="auto"/>
                <w:sz w:val="24"/>
                <w:szCs w:val="24"/>
              </w:rPr>
            </w:pPr>
          </w:p>
        </w:tc>
        <w:tc>
          <w:tcPr>
            <w:tcW w:w="600" w:type="pct"/>
          </w:tcPr>
          <w:p>
            <w:pPr>
              <w:jc w:val="center"/>
              <w:rPr>
                <w:rFonts w:ascii="方正仿宋_GBK" w:hAnsi="仿宋_GB2312" w:eastAsia="方正仿宋_GBK" w:cs="仿宋_GB2312"/>
                <w:color w:val="auto"/>
                <w:sz w:val="24"/>
                <w:szCs w:val="24"/>
              </w:rPr>
            </w:pPr>
          </w:p>
        </w:tc>
        <w:tc>
          <w:tcPr>
            <w:tcW w:w="362" w:type="pct"/>
          </w:tcPr>
          <w:p>
            <w:pPr>
              <w:jc w:val="center"/>
              <w:rPr>
                <w:rFonts w:ascii="方正仿宋_GBK" w:hAnsi="仿宋_GB2312" w:eastAsia="方正仿宋_GBK"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 w:type="pct"/>
          </w:tcPr>
          <w:p>
            <w:pPr>
              <w:jc w:val="center"/>
              <w:rPr>
                <w:rFonts w:ascii="方正仿宋_GBK" w:hAnsi="仿宋_GB2312" w:eastAsia="方正仿宋_GBK" w:cs="仿宋_GB2312"/>
                <w:color w:val="auto"/>
                <w:sz w:val="24"/>
                <w:szCs w:val="24"/>
              </w:rPr>
            </w:pPr>
            <w:r>
              <w:rPr>
                <w:rFonts w:ascii="方正仿宋_GBK" w:hAnsi="仿宋_GB2312" w:eastAsia="方正仿宋_GBK" w:cs="仿宋_GB2312"/>
                <w:color w:val="auto"/>
                <w:sz w:val="24"/>
                <w:szCs w:val="24"/>
              </w:rPr>
              <w:t>5</w:t>
            </w:r>
          </w:p>
        </w:tc>
        <w:tc>
          <w:tcPr>
            <w:tcW w:w="502" w:type="pct"/>
          </w:tcPr>
          <w:p>
            <w:pPr>
              <w:jc w:val="center"/>
              <w:rPr>
                <w:rFonts w:ascii="方正仿宋_GBK" w:hAnsi="仿宋_GB2312" w:eastAsia="方正仿宋_GBK" w:cs="仿宋_GB2312"/>
                <w:color w:val="auto"/>
                <w:sz w:val="24"/>
                <w:szCs w:val="24"/>
              </w:rPr>
            </w:pPr>
          </w:p>
        </w:tc>
        <w:tc>
          <w:tcPr>
            <w:tcW w:w="450" w:type="pct"/>
          </w:tcPr>
          <w:p>
            <w:pPr>
              <w:jc w:val="center"/>
              <w:rPr>
                <w:rFonts w:ascii="方正仿宋_GBK" w:hAnsi="仿宋_GB2312" w:eastAsia="方正仿宋_GBK" w:cs="仿宋_GB2312"/>
                <w:color w:val="auto"/>
                <w:sz w:val="24"/>
                <w:szCs w:val="24"/>
              </w:rPr>
            </w:pPr>
          </w:p>
        </w:tc>
        <w:tc>
          <w:tcPr>
            <w:tcW w:w="550" w:type="pct"/>
          </w:tcPr>
          <w:p>
            <w:pPr>
              <w:jc w:val="center"/>
              <w:rPr>
                <w:rFonts w:ascii="方正仿宋_GBK" w:hAnsi="仿宋_GB2312" w:eastAsia="方正仿宋_GBK" w:cs="仿宋_GB2312"/>
                <w:color w:val="auto"/>
                <w:sz w:val="24"/>
                <w:szCs w:val="24"/>
              </w:rPr>
            </w:pPr>
          </w:p>
        </w:tc>
        <w:tc>
          <w:tcPr>
            <w:tcW w:w="659" w:type="pct"/>
          </w:tcPr>
          <w:p>
            <w:pPr>
              <w:jc w:val="center"/>
              <w:rPr>
                <w:rFonts w:ascii="方正仿宋_GBK" w:hAnsi="仿宋_GB2312" w:eastAsia="方正仿宋_GBK" w:cs="仿宋_GB2312"/>
                <w:color w:val="auto"/>
                <w:sz w:val="24"/>
                <w:szCs w:val="24"/>
              </w:rPr>
            </w:pPr>
          </w:p>
        </w:tc>
        <w:tc>
          <w:tcPr>
            <w:tcW w:w="500" w:type="pct"/>
          </w:tcPr>
          <w:p>
            <w:pPr>
              <w:jc w:val="center"/>
              <w:rPr>
                <w:rFonts w:ascii="方正仿宋_GBK" w:hAnsi="仿宋_GB2312" w:eastAsia="方正仿宋_GBK" w:cs="仿宋_GB2312"/>
                <w:color w:val="auto"/>
                <w:sz w:val="24"/>
                <w:szCs w:val="24"/>
              </w:rPr>
            </w:pPr>
          </w:p>
        </w:tc>
        <w:tc>
          <w:tcPr>
            <w:tcW w:w="503" w:type="pct"/>
          </w:tcPr>
          <w:p>
            <w:pPr>
              <w:jc w:val="center"/>
              <w:rPr>
                <w:rFonts w:ascii="方正仿宋_GBK" w:hAnsi="仿宋_GB2312" w:eastAsia="方正仿宋_GBK" w:cs="仿宋_GB2312"/>
                <w:color w:val="auto"/>
                <w:sz w:val="24"/>
                <w:szCs w:val="24"/>
              </w:rPr>
            </w:pPr>
          </w:p>
        </w:tc>
        <w:tc>
          <w:tcPr>
            <w:tcW w:w="538" w:type="pct"/>
          </w:tcPr>
          <w:p>
            <w:pPr>
              <w:jc w:val="center"/>
              <w:rPr>
                <w:rFonts w:ascii="方正仿宋_GBK" w:hAnsi="仿宋_GB2312" w:eastAsia="方正仿宋_GBK" w:cs="仿宋_GB2312"/>
                <w:color w:val="auto"/>
                <w:sz w:val="24"/>
                <w:szCs w:val="24"/>
              </w:rPr>
            </w:pPr>
          </w:p>
        </w:tc>
        <w:tc>
          <w:tcPr>
            <w:tcW w:w="600" w:type="pct"/>
          </w:tcPr>
          <w:p>
            <w:pPr>
              <w:jc w:val="center"/>
              <w:rPr>
                <w:rFonts w:ascii="方正仿宋_GBK" w:hAnsi="仿宋_GB2312" w:eastAsia="方正仿宋_GBK" w:cs="仿宋_GB2312"/>
                <w:color w:val="auto"/>
                <w:sz w:val="24"/>
                <w:szCs w:val="24"/>
              </w:rPr>
            </w:pPr>
          </w:p>
        </w:tc>
        <w:tc>
          <w:tcPr>
            <w:tcW w:w="362" w:type="pct"/>
          </w:tcPr>
          <w:p>
            <w:pPr>
              <w:jc w:val="center"/>
              <w:rPr>
                <w:rFonts w:ascii="方正仿宋_GBK" w:hAnsi="仿宋_GB2312" w:eastAsia="方正仿宋_GBK"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0" w:type="pct"/>
            <w:gridSpan w:val="7"/>
          </w:tcPr>
          <w:p>
            <w:pPr>
              <w:jc w:val="center"/>
              <w:rPr>
                <w:rFonts w:ascii="方正仿宋_GBK" w:hAnsi="仿宋_GB2312" w:eastAsia="方正仿宋_GBK" w:cs="仿宋_GB2312"/>
                <w:color w:val="auto"/>
                <w:sz w:val="24"/>
                <w:szCs w:val="24"/>
              </w:rPr>
            </w:pPr>
            <w:r>
              <w:rPr>
                <w:rFonts w:hint="eastAsia" w:ascii="方正仿宋_GBK" w:hAnsi="仿宋_GB2312" w:eastAsia="方正仿宋_GBK" w:cs="仿宋_GB2312"/>
                <w:color w:val="auto"/>
                <w:sz w:val="24"/>
                <w:szCs w:val="24"/>
              </w:rPr>
              <w:t>总计（元）</w:t>
            </w:r>
          </w:p>
        </w:tc>
        <w:tc>
          <w:tcPr>
            <w:tcW w:w="1500" w:type="pct"/>
            <w:gridSpan w:val="3"/>
          </w:tcPr>
          <w:p>
            <w:pPr>
              <w:jc w:val="center"/>
              <w:rPr>
                <w:rFonts w:ascii="方正仿宋_GBK" w:hAnsi="仿宋_GB2312" w:eastAsia="方正仿宋_GBK" w:cs="仿宋_GB2312"/>
                <w:color w:val="auto"/>
                <w:sz w:val="24"/>
                <w:szCs w:val="24"/>
              </w:rPr>
            </w:pPr>
          </w:p>
        </w:tc>
      </w:tr>
    </w:tbl>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rPr>
      </w:pPr>
    </w:p>
    <w:p>
      <w:pPr>
        <w:jc w:val="center"/>
        <w:rPr>
          <w:rFonts w:hint="eastAsia" w:ascii="方正仿宋_GBK" w:hAnsi="方正仿宋_GBK" w:eastAsia="方正仿宋_GBK" w:cs="方正仿宋_GBK"/>
          <w:sz w:val="28"/>
          <w:szCs w:val="28"/>
        </w:rPr>
        <w:sectPr>
          <w:pgSz w:w="16838" w:h="11906" w:orient="landscape"/>
          <w:pgMar w:top="1440" w:right="1440" w:bottom="1440" w:left="1440" w:header="851" w:footer="992" w:gutter="0"/>
          <w:cols w:space="425" w:num="1"/>
          <w:docGrid w:type="linesAndChars" w:linePitch="312" w:charSpace="0"/>
        </w:sectPr>
      </w:pPr>
    </w:p>
    <w:p>
      <w:pPr>
        <w:jc w:val="center"/>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格式三   营业执照、企业资质证书复印件</w:t>
      </w:r>
    </w:p>
    <w:p>
      <w:pPr>
        <w:jc w:val="left"/>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br w:type="page"/>
      </w:r>
    </w:p>
    <w:p>
      <w:pPr>
        <w:jc w:val="center"/>
        <w:rPr>
          <w:rFonts w:hint="eastAsia" w:ascii="方正仿宋_GBK" w:hAnsi="方正仿宋_GBK" w:eastAsia="方正仿宋_GBK" w:cs="方正仿宋_GBK"/>
          <w:b/>
          <w:kern w:val="0"/>
          <w:sz w:val="24"/>
        </w:rPr>
      </w:pPr>
      <w:r>
        <w:rPr>
          <w:rFonts w:hint="eastAsia" w:ascii="方正仿宋_GBK" w:hAnsi="方正仿宋_GBK" w:eastAsia="方正仿宋_GBK" w:cs="方正仿宋_GBK"/>
          <w:sz w:val="28"/>
          <w:szCs w:val="28"/>
        </w:rPr>
        <w:t>格式四  法定代表人授权委托书</w:t>
      </w:r>
    </w:p>
    <w:p>
      <w:pPr>
        <w:widowControl/>
        <w:snapToGrid w:val="0"/>
        <w:spacing w:before="100" w:beforeAutospacing="1" w:after="100" w:afterAutospacing="1" w:line="360" w:lineRule="auto"/>
        <w:ind w:firstLine="420"/>
        <w:jc w:val="left"/>
        <w:textAlignment w:val="bottom"/>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本授权书声明：注册于</w:t>
      </w:r>
      <w:r>
        <w:rPr>
          <w:rFonts w:hint="eastAsia" w:ascii="方正仿宋_GBK" w:hAnsi="方正仿宋_GBK" w:eastAsia="方正仿宋_GBK" w:cs="方正仿宋_GBK"/>
          <w:bCs/>
          <w:kern w:val="0"/>
          <w:sz w:val="28"/>
          <w:szCs w:val="28"/>
          <w:u w:val="single"/>
        </w:rPr>
        <w:t>                       （注册地址）</w:t>
      </w:r>
      <w:r>
        <w:rPr>
          <w:rFonts w:hint="eastAsia" w:ascii="方正仿宋_GBK" w:hAnsi="方正仿宋_GBK" w:eastAsia="方正仿宋_GBK" w:cs="方正仿宋_GBK"/>
          <w:bCs/>
          <w:kern w:val="0"/>
          <w:sz w:val="28"/>
          <w:szCs w:val="28"/>
        </w:rPr>
        <w:t>的</w:t>
      </w:r>
      <w:r>
        <w:rPr>
          <w:rFonts w:hint="eastAsia" w:ascii="方正仿宋_GBK" w:hAnsi="方正仿宋_GBK" w:eastAsia="方正仿宋_GBK" w:cs="方正仿宋_GBK"/>
          <w:bCs/>
          <w:kern w:val="0"/>
          <w:sz w:val="28"/>
          <w:szCs w:val="28"/>
          <w:u w:val="single"/>
        </w:rPr>
        <w:t>                    （公司名称）</w:t>
      </w:r>
      <w:r>
        <w:rPr>
          <w:rFonts w:hint="eastAsia" w:ascii="方正仿宋_GBK" w:hAnsi="方正仿宋_GBK" w:eastAsia="方正仿宋_GBK" w:cs="方正仿宋_GBK"/>
          <w:bCs/>
          <w:kern w:val="0"/>
          <w:sz w:val="28"/>
          <w:szCs w:val="28"/>
        </w:rPr>
        <w:t>公司的在下面签字的</w:t>
      </w:r>
      <w:r>
        <w:rPr>
          <w:rFonts w:hint="eastAsia" w:ascii="方正仿宋_GBK" w:hAnsi="方正仿宋_GBK" w:eastAsia="方正仿宋_GBK" w:cs="方正仿宋_GBK"/>
          <w:bCs/>
          <w:kern w:val="0"/>
          <w:sz w:val="28"/>
          <w:szCs w:val="28"/>
          <w:u w:val="single"/>
        </w:rPr>
        <w:t xml:space="preserve">         </w:t>
      </w:r>
      <w:r>
        <w:rPr>
          <w:rFonts w:hint="eastAsia" w:ascii="方正仿宋_GBK" w:hAnsi="方正仿宋_GBK" w:eastAsia="方正仿宋_GBK" w:cs="方正仿宋_GBK"/>
          <w:bCs/>
          <w:kern w:val="0"/>
          <w:sz w:val="28"/>
          <w:szCs w:val="28"/>
        </w:rPr>
        <w:t>（法定代表人姓名、职务）代表本公司授权在下面签字的</w:t>
      </w:r>
      <w:r>
        <w:rPr>
          <w:rFonts w:hint="eastAsia" w:ascii="方正仿宋_GBK" w:hAnsi="方正仿宋_GBK" w:eastAsia="方正仿宋_GBK" w:cs="方正仿宋_GBK"/>
          <w:bCs/>
          <w:i/>
          <w:iCs/>
          <w:kern w:val="0"/>
          <w:sz w:val="28"/>
          <w:szCs w:val="28"/>
          <w:u w:val="single"/>
        </w:rPr>
        <w:t xml:space="preserve">      </w:t>
      </w:r>
      <w:r>
        <w:rPr>
          <w:rFonts w:hint="eastAsia" w:ascii="方正仿宋_GBK" w:hAnsi="方正仿宋_GBK" w:eastAsia="方正仿宋_GBK" w:cs="方正仿宋_GBK"/>
          <w:bCs/>
          <w:kern w:val="0"/>
          <w:sz w:val="28"/>
          <w:szCs w:val="28"/>
        </w:rPr>
        <w:t>被授权人的姓名、职务）为本公司的合法代理人，就</w:t>
      </w:r>
      <w:r>
        <w:rPr>
          <w:rFonts w:hint="eastAsia" w:ascii="方正仿宋_GBK" w:hAnsi="方正仿宋_GBK" w:eastAsia="方正仿宋_GBK" w:cs="方正仿宋_GBK"/>
          <w:bCs/>
          <w:kern w:val="0"/>
          <w:sz w:val="28"/>
          <w:szCs w:val="28"/>
          <w:u w:val="single"/>
        </w:rPr>
        <w:t xml:space="preserve">         </w:t>
      </w:r>
      <w:r>
        <w:rPr>
          <w:rFonts w:hint="eastAsia" w:ascii="方正仿宋_GBK" w:hAnsi="方正仿宋_GBK" w:eastAsia="方正仿宋_GBK" w:cs="方正仿宋_GBK"/>
          <w:bCs/>
          <w:kern w:val="0"/>
          <w:sz w:val="28"/>
          <w:szCs w:val="28"/>
        </w:rPr>
        <w:t>项目的报价以及合同的谈判、签约、执行、完成等全权负责，以本公司名义处理一切与之有关的事务。</w:t>
      </w:r>
    </w:p>
    <w:p>
      <w:pPr>
        <w:widowControl/>
        <w:snapToGrid w:val="0"/>
        <w:spacing w:before="100" w:beforeAutospacing="1" w:after="100" w:afterAutospacing="1" w:line="360" w:lineRule="auto"/>
        <w:ind w:firstLine="560" w:firstLineChars="200"/>
        <w:jc w:val="left"/>
        <w:textAlignment w:val="bottom"/>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本授权书于    年   月   日签字生效，特此声明。</w:t>
      </w:r>
    </w:p>
    <w:p>
      <w:pPr>
        <w:widowControl/>
        <w:snapToGrid w:val="0"/>
        <w:spacing w:before="100" w:beforeAutospacing="1" w:after="100" w:afterAutospacing="1" w:line="252" w:lineRule="atLeast"/>
        <w:jc w:val="left"/>
        <w:textAlignment w:val="bottom"/>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 xml:space="preserve">报价单位名称（盖章）：          </w:t>
      </w:r>
    </w:p>
    <w:p>
      <w:pPr>
        <w:widowControl/>
        <w:snapToGrid w:val="0"/>
        <w:spacing w:before="100" w:beforeAutospacing="1" w:after="100" w:afterAutospacing="1" w:line="252" w:lineRule="atLeast"/>
        <w:jc w:val="left"/>
        <w:textAlignment w:val="bottom"/>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报价单位地址：</w:t>
      </w:r>
    </w:p>
    <w:p>
      <w:pPr>
        <w:widowControl/>
        <w:snapToGrid w:val="0"/>
        <w:spacing w:before="100" w:beforeAutospacing="1" w:after="100" w:afterAutospacing="1" w:line="252" w:lineRule="atLeast"/>
        <w:jc w:val="left"/>
        <w:textAlignment w:val="bottom"/>
        <w:rPr>
          <w:rFonts w:hint="eastAsia" w:ascii="方正仿宋_GBK" w:hAnsi="方正仿宋_GBK" w:eastAsia="方正仿宋_GBK" w:cs="方正仿宋_GBK"/>
          <w:kern w:val="0"/>
          <w:sz w:val="28"/>
          <w:szCs w:val="28"/>
        </w:rPr>
      </w:pPr>
      <w:r>
        <w:rPr>
          <w:rFonts w:hint="eastAsia" w:ascii="方正仿宋_GBK" w:hAnsi="方正仿宋_GBK" w:eastAsia="方正仿宋_GBK" w:cs="方正仿宋_GBK"/>
          <w:kern w:val="0"/>
          <w:sz w:val="28"/>
          <w:szCs w:val="28"/>
        </w:rPr>
        <w:t xml:space="preserve">授权人（法定代表人）签字：                   </w:t>
      </w:r>
    </w:p>
    <w:p>
      <w:pPr>
        <w:widowControl/>
        <w:snapToGrid w:val="0"/>
        <w:spacing w:before="100" w:beforeAutospacing="1" w:after="100" w:afterAutospacing="1" w:line="252" w:lineRule="atLeast"/>
        <w:jc w:val="left"/>
        <w:textAlignment w:val="bottom"/>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kern w:val="0"/>
          <w:sz w:val="28"/>
          <w:szCs w:val="28"/>
        </w:rPr>
        <w:t>被授权人（代理人）签字： </w:t>
      </w:r>
      <w:r>
        <w:rPr>
          <w:rFonts w:hint="eastAsia" w:ascii="方正仿宋_GBK" w:hAnsi="方正仿宋_GBK" w:eastAsia="方正仿宋_GBK" w:cs="方正仿宋_GBK"/>
          <w:kern w:val="0"/>
          <w:sz w:val="32"/>
          <w:szCs w:val="32"/>
        </w:rPr>
        <w:t> </w:t>
      </w:r>
    </w:p>
    <w:p>
      <w:pPr>
        <w:widowControl/>
        <w:snapToGrid w:val="0"/>
        <w:spacing w:before="100" w:beforeAutospacing="1" w:after="100" w:afterAutospacing="1" w:line="252" w:lineRule="atLeast"/>
        <w:ind w:firstLine="480"/>
        <w:jc w:val="left"/>
        <w:textAlignment w:val="bottom"/>
        <w:rPr>
          <w:rFonts w:hint="eastAsia"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3108325</wp:posOffset>
                </wp:positionH>
                <wp:positionV relativeFrom="paragraph">
                  <wp:posOffset>147320</wp:posOffset>
                </wp:positionV>
                <wp:extent cx="2971800" cy="2278380"/>
                <wp:effectExtent l="0" t="0" r="19050" b="26670"/>
                <wp:wrapNone/>
                <wp:docPr id="2" name="文本框 2"/>
                <wp:cNvGraphicFramePr/>
                <a:graphic xmlns:a="http://schemas.openxmlformats.org/drawingml/2006/main">
                  <a:graphicData uri="http://schemas.microsoft.com/office/word/2010/wordprocessingShape">
                    <wps:wsp>
                      <wps:cNvSpPr txBox="1"/>
                      <wps:spPr>
                        <a:xfrm>
                          <a:off x="0" y="0"/>
                          <a:ext cx="29718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hAnsi="仿宋_GB2312" w:eastAsia="仿宋_GB2312" w:cs="仿宋_GB2312"/>
                              </w:rPr>
                            </w:pPr>
                            <w:r>
                              <w:rPr>
                                <w:rFonts w:hint="eastAsia" w:ascii="仿宋_GB2312" w:hAnsi="仿宋_GB2312" w:eastAsia="仿宋_GB2312" w:cs="仿宋_GB2312"/>
                              </w:rPr>
                              <w:t>被授权人身份证复印件</w:t>
                            </w:r>
                          </w:p>
                          <w:p/>
                        </w:txbxContent>
                      </wps:txbx>
                      <wps:bodyPr upright="1"/>
                    </wps:wsp>
                  </a:graphicData>
                </a:graphic>
              </wp:anchor>
            </w:drawing>
          </mc:Choice>
          <mc:Fallback>
            <w:pict>
              <v:shape id="_x0000_s1026" o:spid="_x0000_s1026" o:spt="202" type="#_x0000_t202" style="position:absolute;left:0pt;margin-left:244.75pt;margin-top:11.6pt;height:179.4pt;width:234pt;z-index:251660288;mso-width-relative:page;mso-height-relative:page;" fillcolor="#FFFFFF" filled="t" stroked="t" coordsize="21600,21600" o:gfxdata="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jbSJtoAAAAKAQAADwAAAAAAAAABACAAAAAiAAAAZHJzL2Rvd25yZXYueG1sUEsB&#10;AhQAFAAAAAgAh07iQGrRYlrzAQAA6QMAAA4AAAAAAAAAAQAgAAAAKQEAAGRycy9lMm9Eb2MueG1s&#10;UEsFBgAAAAAGAAYAWQEAAI4FAAAAAA==&#10;">
                <v:fill on="t" focussize="0,0"/>
                <v:stroke color="#000000" joinstyle="miter"/>
                <v:imagedata o:title=""/>
                <o:lock v:ext="edit" aspectratio="f"/>
                <v:textbox>
                  <w:txbxContent>
                    <w:p>
                      <w:pPr>
                        <w:rPr>
                          <w:rFonts w:ascii="仿宋_GB2312" w:hAnsi="仿宋_GB2312" w:eastAsia="仿宋_GB2312" w:cs="仿宋_GB2312"/>
                        </w:rPr>
                      </w:pPr>
                      <w:r>
                        <w:rPr>
                          <w:rFonts w:hint="eastAsia" w:ascii="仿宋_GB2312" w:hAnsi="仿宋_GB2312" w:eastAsia="仿宋_GB2312" w:cs="仿宋_GB2312"/>
                        </w:rPr>
                        <w:t>被授权人身份证复印件</w:t>
                      </w:r>
                    </w:p>
                    <w:p/>
                  </w:txbxContent>
                </v:textbox>
              </v:shape>
            </w:pict>
          </mc:Fallback>
        </mc:AlternateContent>
      </w:r>
      <w:r>
        <w:rPr>
          <w:rFonts w:hint="eastAsia" w:ascii="方正仿宋_GBK" w:hAnsi="方正仿宋_GBK" w:eastAsia="方正仿宋_GBK" w:cs="方正仿宋_GBK"/>
          <w:b/>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140970</wp:posOffset>
                </wp:positionV>
                <wp:extent cx="2857500" cy="2278380"/>
                <wp:effectExtent l="0" t="0" r="19050" b="26670"/>
                <wp:wrapNone/>
                <wp:docPr id="1" name="文本框 1"/>
                <wp:cNvGraphicFramePr/>
                <a:graphic xmlns:a="http://schemas.openxmlformats.org/drawingml/2006/main">
                  <a:graphicData uri="http://schemas.microsoft.com/office/word/2010/wordprocessingShape">
                    <wps:wsp>
                      <wps:cNvSpPr txBox="1"/>
                      <wps:spPr>
                        <a:xfrm>
                          <a:off x="0" y="0"/>
                          <a:ext cx="2857500" cy="22783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hAnsi="仿宋_GB2312" w:eastAsia="仿宋_GB2312" w:cs="仿宋_GB2312"/>
                              </w:rPr>
                            </w:pPr>
                            <w:r>
                              <w:rPr>
                                <w:rFonts w:hint="eastAsia" w:ascii="仿宋_GB2312" w:hAnsi="仿宋_GB2312" w:eastAsia="仿宋_GB2312" w:cs="仿宋_GB2312"/>
                              </w:rPr>
                              <w:t>授权人身份证复印件</w:t>
                            </w:r>
                          </w:p>
                        </w:txbxContent>
                      </wps:txbx>
                      <wps:bodyPr upright="1"/>
                    </wps:wsp>
                  </a:graphicData>
                </a:graphic>
              </wp:anchor>
            </w:drawing>
          </mc:Choice>
          <mc:Fallback>
            <w:pict>
              <v:shape id="_x0000_s1026" o:spid="_x0000_s1026" o:spt="202" type="#_x0000_t202" style="position:absolute;left:0pt;margin-left:0.75pt;margin-top:11.1pt;height:179.4pt;width:225pt;z-index:251659264;mso-width-relative:page;mso-height-relative:page;" fillcolor="#FFFFFF" filled="t" stroked="t" coordsize="21600,21600" o:gfxdata="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EkJ21wAAAAgBAAAPAAAAAAAAAAEAIAAAACIAAABkcnMvZG93bnJldi54bWxQSwECFAAU&#10;AAAACACHTuJAKm1+AvIBAADpAwAADgAAAAAAAAABACAAAAAmAQAAZHJzL2Uyb0RvYy54bWxQSwUG&#10;AAAAAAYABgBZAQAAigUAAAAA&#10;">
                <v:fill on="t" focussize="0,0"/>
                <v:stroke color="#000000" joinstyle="miter"/>
                <v:imagedata o:title=""/>
                <o:lock v:ext="edit" aspectratio="f"/>
                <v:textbox>
                  <w:txbxContent>
                    <w:p>
                      <w:pPr>
                        <w:rPr>
                          <w:rFonts w:ascii="仿宋_GB2312" w:hAnsi="仿宋_GB2312" w:eastAsia="仿宋_GB2312" w:cs="仿宋_GB2312"/>
                        </w:rPr>
                      </w:pPr>
                      <w:r>
                        <w:rPr>
                          <w:rFonts w:hint="eastAsia" w:ascii="仿宋_GB2312" w:hAnsi="仿宋_GB2312" w:eastAsia="仿宋_GB2312" w:cs="仿宋_GB2312"/>
                        </w:rPr>
                        <w:t>授权人身份证复印件</w:t>
                      </w:r>
                    </w:p>
                  </w:txbxContent>
                </v:textbox>
              </v:shape>
            </w:pict>
          </mc:Fallback>
        </mc:AlternateContent>
      </w:r>
    </w:p>
    <w:p>
      <w:pPr>
        <w:widowControl/>
        <w:snapToGrid w:val="0"/>
        <w:spacing w:before="100" w:beforeAutospacing="1" w:after="100" w:afterAutospacing="1" w:line="252" w:lineRule="atLeast"/>
        <w:ind w:firstLine="480"/>
        <w:jc w:val="left"/>
        <w:textAlignment w:val="bottom"/>
        <w:rPr>
          <w:rFonts w:hint="eastAsia" w:ascii="方正仿宋_GBK" w:hAnsi="方正仿宋_GBK" w:eastAsia="方正仿宋_GBK" w:cs="方正仿宋_GBK"/>
          <w:b/>
          <w:kern w:val="0"/>
          <w:sz w:val="28"/>
          <w:szCs w:val="28"/>
        </w:rPr>
      </w:pPr>
    </w:p>
    <w:p>
      <w:pPr>
        <w:widowControl/>
        <w:snapToGrid w:val="0"/>
        <w:spacing w:before="100" w:beforeAutospacing="1" w:after="100" w:afterAutospacing="1" w:line="252" w:lineRule="atLeast"/>
        <w:ind w:firstLine="480"/>
        <w:jc w:val="left"/>
        <w:textAlignment w:val="bottom"/>
        <w:rPr>
          <w:rFonts w:hint="eastAsia" w:ascii="方正仿宋_GBK" w:hAnsi="方正仿宋_GBK" w:eastAsia="方正仿宋_GBK" w:cs="方正仿宋_GBK"/>
          <w:b/>
          <w:kern w:val="0"/>
          <w:sz w:val="28"/>
          <w:szCs w:val="28"/>
        </w:rPr>
      </w:pPr>
    </w:p>
    <w:p>
      <w:pPr>
        <w:widowControl/>
        <w:snapToGrid w:val="0"/>
        <w:spacing w:before="100" w:beforeAutospacing="1" w:after="100" w:afterAutospacing="1" w:line="252" w:lineRule="atLeast"/>
        <w:ind w:firstLine="480"/>
        <w:jc w:val="left"/>
        <w:textAlignment w:val="bottom"/>
        <w:rPr>
          <w:rFonts w:hint="eastAsia" w:ascii="方正仿宋_GBK" w:hAnsi="方正仿宋_GBK" w:eastAsia="方正仿宋_GBK" w:cs="方正仿宋_GBK"/>
          <w:b/>
          <w:kern w:val="0"/>
          <w:sz w:val="28"/>
          <w:szCs w:val="28"/>
        </w:rPr>
      </w:pPr>
      <w:r>
        <w:rPr>
          <w:rFonts w:hint="eastAsia" w:ascii="方正仿宋_GBK" w:hAnsi="方正仿宋_GBK" w:eastAsia="方正仿宋_GBK" w:cs="方正仿宋_GBK"/>
          <w:b/>
          <w:kern w:val="0"/>
          <w:sz w:val="28"/>
          <w:szCs w:val="28"/>
        </w:rPr>
        <w:t> </w:t>
      </w:r>
    </w:p>
    <w:p>
      <w:pPr>
        <w:widowControl/>
        <w:spacing w:before="100" w:beforeAutospacing="1" w:after="100" w:afterAutospacing="1" w:line="252" w:lineRule="atLeast"/>
        <w:jc w:val="center"/>
        <w:rPr>
          <w:rFonts w:hint="eastAsia" w:ascii="方正仿宋_GBK" w:hAnsi="方正仿宋_GBK" w:eastAsia="方正仿宋_GBK" w:cs="方正仿宋_GBK"/>
          <w:b/>
          <w:kern w:val="0"/>
          <w:sz w:val="28"/>
          <w:szCs w:val="28"/>
        </w:rPr>
      </w:pPr>
    </w:p>
    <w:p>
      <w:pPr>
        <w:widowControl/>
        <w:spacing w:before="100" w:beforeAutospacing="1" w:after="100" w:afterAutospacing="1" w:line="252" w:lineRule="atLeast"/>
        <w:jc w:val="center"/>
        <w:rPr>
          <w:rFonts w:hint="eastAsia" w:ascii="方正仿宋_GBK" w:hAnsi="方正仿宋_GBK" w:eastAsia="方正仿宋_GBK" w:cs="方正仿宋_GBK"/>
          <w:b/>
          <w:kern w:val="0"/>
          <w:sz w:val="28"/>
          <w:szCs w:val="28"/>
        </w:rPr>
      </w:pPr>
    </w:p>
    <w:p>
      <w:pPr>
        <w:widowControl/>
        <w:snapToGrid w:val="0"/>
        <w:spacing w:before="100" w:beforeAutospacing="1" w:after="100" w:afterAutospacing="1" w:line="360" w:lineRule="auto"/>
        <w:jc w:val="center"/>
        <w:textAlignment w:val="bottom"/>
        <w:rPr>
          <w:rFonts w:hint="eastAsia" w:ascii="方正仿宋_GBK" w:hAnsi="方正仿宋_GBK" w:eastAsia="方正仿宋_GBK" w:cs="方正仿宋_GBK"/>
          <w:bCs/>
          <w:kern w:val="0"/>
          <w:sz w:val="28"/>
          <w:szCs w:val="28"/>
        </w:rPr>
      </w:pPr>
    </w:p>
    <w:p>
      <w:pPr>
        <w:pStyle w:val="2"/>
        <w:rPr>
          <w:rFonts w:hint="eastAsia" w:ascii="方正仿宋_GBK" w:hAnsi="方正仿宋_GBK" w:eastAsia="方正仿宋_GBK" w:cs="方正仿宋_GBK"/>
        </w:rPr>
      </w:pPr>
    </w:p>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格式五 业绩证明材料</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6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项目名称</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发包人名称</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发包人地址</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发包人电话</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合同价格</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开工日期</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竣工日期</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承担的工作</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工程质量</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项目描述</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备注</w:t>
            </w:r>
          </w:p>
        </w:tc>
        <w:tc>
          <w:tcPr>
            <w:tcW w:w="6451"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bl>
    <w:p>
      <w:pPr>
        <w:widowControl/>
        <w:spacing w:before="100" w:beforeAutospacing="1" w:after="100" w:afterAutospacing="1" w:line="252" w:lineRule="atLeast"/>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注：以上工程需提供合同复印件、完成情况证明材料（如：竣工验收证明、施工图审查合格书等，根据比选项目的类型进行选择）并加盖鲜章。</w:t>
      </w:r>
    </w:p>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p>
      <w:pPr>
        <w:widowControl/>
        <w:jc w:val="left"/>
        <w:rPr>
          <w:rFonts w:hint="eastAsia" w:ascii="方正仿宋_GBK" w:hAnsi="方正仿宋_GBK" w:eastAsia="方正仿宋_GBK" w:cs="方正仿宋_GBK"/>
          <w:bCs/>
          <w:kern w:val="0"/>
          <w:sz w:val="28"/>
          <w:szCs w:val="28"/>
        </w:rPr>
      </w:pPr>
    </w:p>
    <w:p>
      <w:pPr>
        <w:widowControl/>
        <w:jc w:val="left"/>
        <w:rPr>
          <w:rFonts w:hint="eastAsia" w:ascii="方正仿宋_GBK" w:hAnsi="方正仿宋_GBK" w:eastAsia="方正仿宋_GBK" w:cs="方正仿宋_GBK"/>
          <w:bCs/>
          <w:kern w:val="0"/>
          <w:sz w:val="28"/>
          <w:szCs w:val="28"/>
        </w:rPr>
      </w:pPr>
    </w:p>
    <w:p>
      <w:pPr>
        <w:widowControl/>
        <w:jc w:val="left"/>
        <w:rPr>
          <w:rFonts w:hint="eastAsia" w:ascii="方正仿宋_GBK" w:hAnsi="方正仿宋_GBK" w:eastAsia="方正仿宋_GBK" w:cs="方正仿宋_GBK"/>
          <w:bCs/>
          <w:kern w:val="0"/>
          <w:sz w:val="28"/>
          <w:szCs w:val="28"/>
        </w:rPr>
      </w:pPr>
    </w:p>
    <w:p>
      <w:pPr>
        <w:widowControl/>
        <w:jc w:val="left"/>
        <w:rPr>
          <w:rFonts w:hint="eastAsia" w:ascii="方正仿宋_GBK" w:hAnsi="方正仿宋_GBK" w:eastAsia="方正仿宋_GBK" w:cs="方正仿宋_GBK"/>
          <w:bCs/>
          <w:kern w:val="0"/>
          <w:sz w:val="28"/>
          <w:szCs w:val="28"/>
        </w:rPr>
      </w:pPr>
    </w:p>
    <w:p>
      <w:pPr>
        <w:widowControl/>
        <w:jc w:val="left"/>
        <w:rPr>
          <w:rFonts w:hint="eastAsia" w:ascii="方正仿宋_GBK" w:hAnsi="方正仿宋_GBK" w:eastAsia="方正仿宋_GBK" w:cs="方正仿宋_GBK"/>
          <w:bCs/>
          <w:kern w:val="0"/>
          <w:sz w:val="28"/>
          <w:szCs w:val="28"/>
        </w:rPr>
      </w:pPr>
    </w:p>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格式六 拟投入项目人员名单</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2252"/>
        <w:gridCol w:w="1258"/>
        <w:gridCol w:w="2460"/>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姓名</w:t>
            </w:r>
          </w:p>
        </w:tc>
        <w:tc>
          <w:tcPr>
            <w:tcW w:w="2252"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资质证书/职称</w:t>
            </w:r>
          </w:p>
        </w:tc>
        <w:tc>
          <w:tcPr>
            <w:tcW w:w="1258"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专业</w:t>
            </w:r>
          </w:p>
        </w:tc>
        <w:tc>
          <w:tcPr>
            <w:tcW w:w="2460"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拟在本项目任职</w:t>
            </w:r>
          </w:p>
        </w:tc>
        <w:tc>
          <w:tcPr>
            <w:tcW w:w="139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工作年限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2252"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1258"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2460"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139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2252"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1258"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2460"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139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2252"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1258"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2460"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c>
          <w:tcPr>
            <w:tcW w:w="1396" w:type="dxa"/>
          </w:tcPr>
          <w:p>
            <w:pPr>
              <w:widowControl/>
              <w:spacing w:before="100" w:beforeAutospacing="1" w:after="100" w:afterAutospacing="1" w:line="252" w:lineRule="atLeast"/>
              <w:jc w:val="center"/>
              <w:rPr>
                <w:rFonts w:hint="eastAsia" w:ascii="方正仿宋_GBK" w:hAnsi="方正仿宋_GBK" w:eastAsia="方正仿宋_GBK" w:cs="方正仿宋_GBK"/>
                <w:bCs/>
                <w:kern w:val="0"/>
                <w:sz w:val="28"/>
                <w:szCs w:val="28"/>
              </w:rPr>
            </w:pPr>
          </w:p>
        </w:tc>
      </w:tr>
    </w:tbl>
    <w:p>
      <w:pPr>
        <w:widowControl/>
        <w:jc w:val="left"/>
        <w:rPr>
          <w:rFonts w:hint="eastAsia" w:ascii="方正仿宋_GBK" w:hAnsi="方正仿宋_GBK" w:eastAsia="方正仿宋_GBK" w:cs="方正仿宋_GBK"/>
          <w:bCs/>
          <w:kern w:val="0"/>
          <w:sz w:val="28"/>
          <w:szCs w:val="28"/>
        </w:rPr>
      </w:pPr>
    </w:p>
    <w:p>
      <w:pPr>
        <w:widowControl/>
        <w:jc w:val="left"/>
        <w:rPr>
          <w:rFonts w:hint="eastAsia" w:ascii="方正仿宋_GBK" w:hAnsi="方正仿宋_GBK" w:eastAsia="方正仿宋_GBK" w:cs="方正仿宋_GBK"/>
        </w:rPr>
      </w:pPr>
      <w:r>
        <w:rPr>
          <w:rFonts w:hint="eastAsia" w:ascii="方正仿宋_GBK" w:hAnsi="方正仿宋_GBK" w:eastAsia="方正仿宋_GBK" w:cs="方正仿宋_GBK"/>
          <w:bCs/>
          <w:kern w:val="0"/>
          <w:sz w:val="28"/>
          <w:szCs w:val="28"/>
        </w:rPr>
        <w:br w:type="page"/>
      </w:r>
    </w:p>
    <w:p>
      <w:pPr>
        <w:widowControl/>
        <w:snapToGrid w:val="0"/>
        <w:spacing w:before="100" w:beforeAutospacing="1" w:after="100" w:afterAutospacing="1" w:line="360" w:lineRule="auto"/>
        <w:jc w:val="center"/>
        <w:textAlignment w:val="bottom"/>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格式</w:t>
      </w:r>
      <w:r>
        <w:rPr>
          <w:rFonts w:hint="eastAsia" w:ascii="方正仿宋_GBK" w:hAnsi="方正仿宋_GBK" w:eastAsia="方正仿宋_GBK" w:cs="方正仿宋_GBK"/>
          <w:bCs/>
          <w:kern w:val="0"/>
          <w:sz w:val="28"/>
          <w:szCs w:val="28"/>
          <w:lang w:val="en-US" w:eastAsia="zh-CN"/>
        </w:rPr>
        <w:t>七</w:t>
      </w:r>
      <w:r>
        <w:rPr>
          <w:rFonts w:hint="eastAsia" w:ascii="方正仿宋_GBK" w:hAnsi="方正仿宋_GBK" w:eastAsia="方正仿宋_GBK" w:cs="方正仿宋_GBK"/>
          <w:bCs/>
          <w:kern w:val="0"/>
          <w:sz w:val="28"/>
          <w:szCs w:val="28"/>
        </w:rPr>
        <w:t xml:space="preserve">  其他资料</w:t>
      </w:r>
    </w:p>
    <w:p>
      <w:pPr>
        <w:widowControl/>
        <w:snapToGrid w:val="0"/>
        <w:spacing w:before="100" w:beforeAutospacing="1" w:after="100" w:afterAutospacing="1" w:line="360" w:lineRule="auto"/>
        <w:ind w:firstLine="560" w:firstLineChars="200"/>
        <w:jc w:val="left"/>
        <w:textAlignment w:val="bottom"/>
        <w:rPr>
          <w:rFonts w:hint="eastAsia" w:ascii="方正仿宋_GBK" w:hAnsi="方正仿宋_GBK" w:eastAsia="方正仿宋_GBK" w:cs="方正仿宋_GBK"/>
          <w:bCs/>
          <w:kern w:val="0"/>
          <w:sz w:val="28"/>
          <w:szCs w:val="28"/>
        </w:rPr>
      </w:pPr>
      <w:r>
        <w:rPr>
          <w:rFonts w:hint="eastAsia" w:ascii="方正仿宋_GBK" w:hAnsi="方正仿宋_GBK" w:eastAsia="方正仿宋_GBK" w:cs="方正仿宋_GBK"/>
          <w:bCs/>
          <w:kern w:val="0"/>
          <w:sz w:val="28"/>
          <w:szCs w:val="28"/>
        </w:rPr>
        <w:t>根据项目要求情况需要添加的其他资料，格式自定义。</w:t>
      </w: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p>
      <w:pPr>
        <w:rPr>
          <w:rFonts w:hint="eastAsia" w:ascii="方正仿宋_GBK" w:hAnsi="方正仿宋_GBK" w:eastAsia="方正仿宋_GBK" w:cs="方正仿宋_GBK"/>
        </w:rPr>
      </w:pPr>
    </w:p>
    <w:p>
      <w:pPr>
        <w:pStyle w:val="2"/>
        <w:rPr>
          <w:rFonts w:hint="eastAsia" w:ascii="方正仿宋_GBK" w:hAnsi="方正仿宋_GBK" w:eastAsia="方正仿宋_GBK" w:cs="方正仿宋_GBK"/>
        </w:rPr>
      </w:pPr>
    </w:p>
    <w:sectPr>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8378660-F8B9-4292-B1C0-7365B983EBD8}"/>
  </w:font>
  <w:font w:name="Arial">
    <w:panose1 w:val="020B0604020202020204"/>
    <w:charset w:val="01"/>
    <w:family w:val="swiss"/>
    <w:pitch w:val="default"/>
    <w:sig w:usb0="E0002EFF" w:usb1="C000785B" w:usb2="00000009" w:usb3="00000000" w:csb0="400001FF" w:csb1="FFFF0000"/>
    <w:embedRegular r:id="rId2" w:fontKey="{546CCCC5-186F-4115-A96F-A893CA1A424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CD348EB-BD39-4540-A272-16A9D4B33B3F}"/>
  </w:font>
  <w:font w:name="Symbol">
    <w:panose1 w:val="05050102010706020507"/>
    <w:charset w:val="02"/>
    <w:family w:val="roman"/>
    <w:pitch w:val="default"/>
    <w:sig w:usb0="00000000" w:usb1="00000000" w:usb2="00000000" w:usb3="00000000" w:csb0="80000000" w:csb1="00000000"/>
    <w:embedRegular r:id="rId4" w:fontKey="{B7804732-DFC5-4711-8B04-CFAB5898C65E}"/>
  </w:font>
  <w:font w:name="Calibri">
    <w:panose1 w:val="020F0502020204030204"/>
    <w:charset w:val="00"/>
    <w:family w:val="swiss"/>
    <w:pitch w:val="default"/>
    <w:sig w:usb0="E4002EFF" w:usb1="C000247B" w:usb2="00000009" w:usb3="00000000" w:csb0="200001FF" w:csb1="00000000"/>
    <w:embedRegular r:id="rId5" w:fontKey="{5DE03C98-23AA-47D7-9958-E8332E766AE2}"/>
  </w:font>
  <w:font w:name="仿宋_GB2312">
    <w:panose1 w:val="02010609030101010101"/>
    <w:charset w:val="86"/>
    <w:family w:val="modern"/>
    <w:pitch w:val="default"/>
    <w:sig w:usb0="00000000" w:usb1="00000000" w:usb2="00000000" w:usb3="00000000" w:csb0="00000000" w:csb1="00000000"/>
    <w:embedRegular r:id="rId6" w:fontKey="{08375574-BF80-4E5E-B4DF-041C5B695613}"/>
  </w:font>
  <w:font w:name="方正仿宋_GBK">
    <w:panose1 w:val="03000509000000000000"/>
    <w:charset w:val="86"/>
    <w:family w:val="script"/>
    <w:pitch w:val="default"/>
    <w:sig w:usb0="00000001" w:usb1="080E0000" w:usb2="00000000" w:usb3="00000000" w:csb0="00040000" w:csb1="00000000"/>
    <w:embedRegular r:id="rId7" w:fontKey="{26F36E9A-FD97-43F3-A947-4F70D9198A80}"/>
  </w:font>
  <w:font w:name="方正小标宋_GBK">
    <w:panose1 w:val="03000509000000000000"/>
    <w:charset w:val="86"/>
    <w:family w:val="auto"/>
    <w:pitch w:val="default"/>
    <w:sig w:usb0="00000001" w:usb1="080E0000" w:usb2="00000000" w:usb3="00000000" w:csb0="00040000" w:csb1="00000000"/>
    <w:embedRegular r:id="rId8" w:fontKey="{D68820BA-B100-4DA7-8763-B8E203187F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0F65CA1"/>
    <w:rsid w:val="0000369C"/>
    <w:rsid w:val="00006F74"/>
    <w:rsid w:val="000135E3"/>
    <w:rsid w:val="00026F59"/>
    <w:rsid w:val="00052EFD"/>
    <w:rsid w:val="00066979"/>
    <w:rsid w:val="00084C2E"/>
    <w:rsid w:val="00094273"/>
    <w:rsid w:val="000B4BF3"/>
    <w:rsid w:val="000D33CD"/>
    <w:rsid w:val="000E0C3B"/>
    <w:rsid w:val="000F1A09"/>
    <w:rsid w:val="00105215"/>
    <w:rsid w:val="00116CB8"/>
    <w:rsid w:val="0013312E"/>
    <w:rsid w:val="00134A47"/>
    <w:rsid w:val="00146F27"/>
    <w:rsid w:val="00160349"/>
    <w:rsid w:val="00163B73"/>
    <w:rsid w:val="00182C35"/>
    <w:rsid w:val="00193435"/>
    <w:rsid w:val="002226AB"/>
    <w:rsid w:val="002229DD"/>
    <w:rsid w:val="002519D2"/>
    <w:rsid w:val="0025644B"/>
    <w:rsid w:val="00264360"/>
    <w:rsid w:val="00275DB8"/>
    <w:rsid w:val="002A10BD"/>
    <w:rsid w:val="002C0763"/>
    <w:rsid w:val="002E51C2"/>
    <w:rsid w:val="002F26C7"/>
    <w:rsid w:val="00312DBF"/>
    <w:rsid w:val="00322F76"/>
    <w:rsid w:val="00326EAD"/>
    <w:rsid w:val="00335260"/>
    <w:rsid w:val="00335F6D"/>
    <w:rsid w:val="00343530"/>
    <w:rsid w:val="00355B9B"/>
    <w:rsid w:val="00373BA0"/>
    <w:rsid w:val="00373BE3"/>
    <w:rsid w:val="0038475D"/>
    <w:rsid w:val="00386218"/>
    <w:rsid w:val="003A1101"/>
    <w:rsid w:val="003A17A9"/>
    <w:rsid w:val="003B28A5"/>
    <w:rsid w:val="003B3063"/>
    <w:rsid w:val="003B5A01"/>
    <w:rsid w:val="003C0DDD"/>
    <w:rsid w:val="003C1BA3"/>
    <w:rsid w:val="003C3FA5"/>
    <w:rsid w:val="003D177B"/>
    <w:rsid w:val="003D6A5D"/>
    <w:rsid w:val="003E216A"/>
    <w:rsid w:val="003F5666"/>
    <w:rsid w:val="0041775E"/>
    <w:rsid w:val="00433260"/>
    <w:rsid w:val="00442D70"/>
    <w:rsid w:val="00470FD8"/>
    <w:rsid w:val="0047738A"/>
    <w:rsid w:val="0048610D"/>
    <w:rsid w:val="00497D0C"/>
    <w:rsid w:val="004A4C78"/>
    <w:rsid w:val="004B3599"/>
    <w:rsid w:val="004C4019"/>
    <w:rsid w:val="004C52FB"/>
    <w:rsid w:val="004D0CB1"/>
    <w:rsid w:val="004F4651"/>
    <w:rsid w:val="0050198A"/>
    <w:rsid w:val="00504F9C"/>
    <w:rsid w:val="00531A4C"/>
    <w:rsid w:val="00534080"/>
    <w:rsid w:val="00535C67"/>
    <w:rsid w:val="00537EE0"/>
    <w:rsid w:val="00543350"/>
    <w:rsid w:val="0055797F"/>
    <w:rsid w:val="005612C3"/>
    <w:rsid w:val="00572E26"/>
    <w:rsid w:val="00582259"/>
    <w:rsid w:val="00587D80"/>
    <w:rsid w:val="005B36D9"/>
    <w:rsid w:val="005C603A"/>
    <w:rsid w:val="005D004F"/>
    <w:rsid w:val="005D13CA"/>
    <w:rsid w:val="005D6F52"/>
    <w:rsid w:val="005E1D26"/>
    <w:rsid w:val="005E5F8E"/>
    <w:rsid w:val="005F4DFF"/>
    <w:rsid w:val="005F518B"/>
    <w:rsid w:val="005F671D"/>
    <w:rsid w:val="00604313"/>
    <w:rsid w:val="00604436"/>
    <w:rsid w:val="0060690E"/>
    <w:rsid w:val="00607107"/>
    <w:rsid w:val="0061297D"/>
    <w:rsid w:val="0061671C"/>
    <w:rsid w:val="00640FD7"/>
    <w:rsid w:val="00643637"/>
    <w:rsid w:val="00647576"/>
    <w:rsid w:val="00664539"/>
    <w:rsid w:val="00667299"/>
    <w:rsid w:val="006C3D9F"/>
    <w:rsid w:val="006F15EB"/>
    <w:rsid w:val="00700014"/>
    <w:rsid w:val="00735393"/>
    <w:rsid w:val="0074015A"/>
    <w:rsid w:val="00745C5E"/>
    <w:rsid w:val="00751B21"/>
    <w:rsid w:val="00770AED"/>
    <w:rsid w:val="00794BE8"/>
    <w:rsid w:val="0079763A"/>
    <w:rsid w:val="007F117B"/>
    <w:rsid w:val="007F20B4"/>
    <w:rsid w:val="007F629E"/>
    <w:rsid w:val="00804F62"/>
    <w:rsid w:val="00806A9D"/>
    <w:rsid w:val="00811AB6"/>
    <w:rsid w:val="0084272E"/>
    <w:rsid w:val="0084445F"/>
    <w:rsid w:val="008470A1"/>
    <w:rsid w:val="008629E0"/>
    <w:rsid w:val="00870BF5"/>
    <w:rsid w:val="00884DCB"/>
    <w:rsid w:val="00884F41"/>
    <w:rsid w:val="00890708"/>
    <w:rsid w:val="00894411"/>
    <w:rsid w:val="008A2970"/>
    <w:rsid w:val="008C1AC9"/>
    <w:rsid w:val="008E4C84"/>
    <w:rsid w:val="008F20A1"/>
    <w:rsid w:val="008F6542"/>
    <w:rsid w:val="00906969"/>
    <w:rsid w:val="009207E1"/>
    <w:rsid w:val="00933E93"/>
    <w:rsid w:val="00935253"/>
    <w:rsid w:val="009454E6"/>
    <w:rsid w:val="00945A4C"/>
    <w:rsid w:val="009501BC"/>
    <w:rsid w:val="00953760"/>
    <w:rsid w:val="00971A74"/>
    <w:rsid w:val="009869C1"/>
    <w:rsid w:val="00987C59"/>
    <w:rsid w:val="009A40FE"/>
    <w:rsid w:val="009A6514"/>
    <w:rsid w:val="009B09C8"/>
    <w:rsid w:val="009E07F5"/>
    <w:rsid w:val="009E3197"/>
    <w:rsid w:val="00A17498"/>
    <w:rsid w:val="00A20489"/>
    <w:rsid w:val="00A3702C"/>
    <w:rsid w:val="00A452F1"/>
    <w:rsid w:val="00A463FB"/>
    <w:rsid w:val="00A6083E"/>
    <w:rsid w:val="00A67C07"/>
    <w:rsid w:val="00A7073A"/>
    <w:rsid w:val="00AA15ED"/>
    <w:rsid w:val="00AA1CAE"/>
    <w:rsid w:val="00AE1C60"/>
    <w:rsid w:val="00AF1849"/>
    <w:rsid w:val="00B004D3"/>
    <w:rsid w:val="00B34C8D"/>
    <w:rsid w:val="00B34E72"/>
    <w:rsid w:val="00B71890"/>
    <w:rsid w:val="00B81E43"/>
    <w:rsid w:val="00B8638D"/>
    <w:rsid w:val="00BA383A"/>
    <w:rsid w:val="00BB58A2"/>
    <w:rsid w:val="00BD08BA"/>
    <w:rsid w:val="00BE1973"/>
    <w:rsid w:val="00BF645D"/>
    <w:rsid w:val="00C0338E"/>
    <w:rsid w:val="00C06579"/>
    <w:rsid w:val="00C32D01"/>
    <w:rsid w:val="00C42CAF"/>
    <w:rsid w:val="00C479A4"/>
    <w:rsid w:val="00C701DB"/>
    <w:rsid w:val="00C824B2"/>
    <w:rsid w:val="00C854BA"/>
    <w:rsid w:val="00C86A6F"/>
    <w:rsid w:val="00CB07ED"/>
    <w:rsid w:val="00CB79DA"/>
    <w:rsid w:val="00CC2846"/>
    <w:rsid w:val="00CC4999"/>
    <w:rsid w:val="00CD7DDC"/>
    <w:rsid w:val="00D069C0"/>
    <w:rsid w:val="00D17A55"/>
    <w:rsid w:val="00D31F90"/>
    <w:rsid w:val="00D3697F"/>
    <w:rsid w:val="00D50415"/>
    <w:rsid w:val="00D62C99"/>
    <w:rsid w:val="00D64025"/>
    <w:rsid w:val="00D655CD"/>
    <w:rsid w:val="00D72679"/>
    <w:rsid w:val="00D836B3"/>
    <w:rsid w:val="00DA00BE"/>
    <w:rsid w:val="00DA27CC"/>
    <w:rsid w:val="00DA73C8"/>
    <w:rsid w:val="00DC49C8"/>
    <w:rsid w:val="00DF335D"/>
    <w:rsid w:val="00E053B7"/>
    <w:rsid w:val="00E10A7D"/>
    <w:rsid w:val="00E17D3D"/>
    <w:rsid w:val="00E20B7C"/>
    <w:rsid w:val="00E21090"/>
    <w:rsid w:val="00E33340"/>
    <w:rsid w:val="00E358CB"/>
    <w:rsid w:val="00E45715"/>
    <w:rsid w:val="00E47FEA"/>
    <w:rsid w:val="00E76B4D"/>
    <w:rsid w:val="00E77733"/>
    <w:rsid w:val="00E81C25"/>
    <w:rsid w:val="00E82845"/>
    <w:rsid w:val="00EC11B3"/>
    <w:rsid w:val="00EC5763"/>
    <w:rsid w:val="00ED4469"/>
    <w:rsid w:val="00ED6680"/>
    <w:rsid w:val="00EE6B45"/>
    <w:rsid w:val="00EF3057"/>
    <w:rsid w:val="00EF352A"/>
    <w:rsid w:val="00EF69ED"/>
    <w:rsid w:val="00F06300"/>
    <w:rsid w:val="00F14C4F"/>
    <w:rsid w:val="00F17B62"/>
    <w:rsid w:val="00F3002F"/>
    <w:rsid w:val="00F3233D"/>
    <w:rsid w:val="00F3279C"/>
    <w:rsid w:val="00F3390B"/>
    <w:rsid w:val="00F52FC7"/>
    <w:rsid w:val="00F56F6D"/>
    <w:rsid w:val="00F6617B"/>
    <w:rsid w:val="00F83CFC"/>
    <w:rsid w:val="00F85ADD"/>
    <w:rsid w:val="00F86C7D"/>
    <w:rsid w:val="00FA1A83"/>
    <w:rsid w:val="00FB3E5F"/>
    <w:rsid w:val="00FB4077"/>
    <w:rsid w:val="00FB755E"/>
    <w:rsid w:val="00FC0236"/>
    <w:rsid w:val="00FD3E1F"/>
    <w:rsid w:val="00FD3EBA"/>
    <w:rsid w:val="00FE7AA9"/>
    <w:rsid w:val="01B1032F"/>
    <w:rsid w:val="01F16AC1"/>
    <w:rsid w:val="02CE76A9"/>
    <w:rsid w:val="02D76FBF"/>
    <w:rsid w:val="03606C00"/>
    <w:rsid w:val="03A2766E"/>
    <w:rsid w:val="0412073B"/>
    <w:rsid w:val="04535BBC"/>
    <w:rsid w:val="04CD134A"/>
    <w:rsid w:val="052E7A4D"/>
    <w:rsid w:val="06B805C0"/>
    <w:rsid w:val="06B836B4"/>
    <w:rsid w:val="070E21F1"/>
    <w:rsid w:val="09463365"/>
    <w:rsid w:val="0A2A0AF5"/>
    <w:rsid w:val="0B9243F5"/>
    <w:rsid w:val="0C1752AC"/>
    <w:rsid w:val="0CA63C4C"/>
    <w:rsid w:val="0D0E4BDB"/>
    <w:rsid w:val="0D2B5496"/>
    <w:rsid w:val="0DDE2E2E"/>
    <w:rsid w:val="0E4C6EDD"/>
    <w:rsid w:val="0F3D4C38"/>
    <w:rsid w:val="0F843DAE"/>
    <w:rsid w:val="10107C49"/>
    <w:rsid w:val="10122DA9"/>
    <w:rsid w:val="10493F0F"/>
    <w:rsid w:val="105C79A5"/>
    <w:rsid w:val="1160750C"/>
    <w:rsid w:val="12AB02E9"/>
    <w:rsid w:val="13B4577B"/>
    <w:rsid w:val="148117CA"/>
    <w:rsid w:val="14F91DE7"/>
    <w:rsid w:val="15885894"/>
    <w:rsid w:val="158F05A4"/>
    <w:rsid w:val="15900E67"/>
    <w:rsid w:val="15C64DFC"/>
    <w:rsid w:val="16545C86"/>
    <w:rsid w:val="170D738C"/>
    <w:rsid w:val="17A87202"/>
    <w:rsid w:val="17AC3441"/>
    <w:rsid w:val="17E03761"/>
    <w:rsid w:val="17FE7ADA"/>
    <w:rsid w:val="180576F5"/>
    <w:rsid w:val="180F70DF"/>
    <w:rsid w:val="1896571B"/>
    <w:rsid w:val="19BF6161"/>
    <w:rsid w:val="1B325770"/>
    <w:rsid w:val="1BEC2E2C"/>
    <w:rsid w:val="1CA22330"/>
    <w:rsid w:val="1D497215"/>
    <w:rsid w:val="1DF222E1"/>
    <w:rsid w:val="1DF44341"/>
    <w:rsid w:val="1ED84A01"/>
    <w:rsid w:val="1EFE7752"/>
    <w:rsid w:val="1F850613"/>
    <w:rsid w:val="1FE85EEC"/>
    <w:rsid w:val="2201747C"/>
    <w:rsid w:val="22D04D5D"/>
    <w:rsid w:val="22DB76B2"/>
    <w:rsid w:val="236F4641"/>
    <w:rsid w:val="24AE0905"/>
    <w:rsid w:val="24F34902"/>
    <w:rsid w:val="253343DB"/>
    <w:rsid w:val="253A2E79"/>
    <w:rsid w:val="2543598C"/>
    <w:rsid w:val="25EA145C"/>
    <w:rsid w:val="27727F17"/>
    <w:rsid w:val="28E727A9"/>
    <w:rsid w:val="29A67F0F"/>
    <w:rsid w:val="29AD6C7A"/>
    <w:rsid w:val="2A0A3823"/>
    <w:rsid w:val="2A5F4EA1"/>
    <w:rsid w:val="2AFA4267"/>
    <w:rsid w:val="2BF44E35"/>
    <w:rsid w:val="2C06402A"/>
    <w:rsid w:val="2C1F6426"/>
    <w:rsid w:val="2C673F2E"/>
    <w:rsid w:val="2C797CA8"/>
    <w:rsid w:val="2E2D67F0"/>
    <w:rsid w:val="2E77519F"/>
    <w:rsid w:val="2EE4063A"/>
    <w:rsid w:val="2F331DA6"/>
    <w:rsid w:val="2F4A1F6D"/>
    <w:rsid w:val="2F756682"/>
    <w:rsid w:val="2FE414B8"/>
    <w:rsid w:val="3018480F"/>
    <w:rsid w:val="30D9210D"/>
    <w:rsid w:val="30E2401C"/>
    <w:rsid w:val="3184473C"/>
    <w:rsid w:val="32BB136C"/>
    <w:rsid w:val="339A2E6F"/>
    <w:rsid w:val="346849A2"/>
    <w:rsid w:val="34DA1DD4"/>
    <w:rsid w:val="354821F3"/>
    <w:rsid w:val="35545B7E"/>
    <w:rsid w:val="372E75E4"/>
    <w:rsid w:val="37CD2C86"/>
    <w:rsid w:val="386B007C"/>
    <w:rsid w:val="387B2E9F"/>
    <w:rsid w:val="38B20A2B"/>
    <w:rsid w:val="38C7492B"/>
    <w:rsid w:val="397F0029"/>
    <w:rsid w:val="39AA14C4"/>
    <w:rsid w:val="3A172765"/>
    <w:rsid w:val="3A2C7EA1"/>
    <w:rsid w:val="3AE3570F"/>
    <w:rsid w:val="3B2E2644"/>
    <w:rsid w:val="3C545AFD"/>
    <w:rsid w:val="3CC54961"/>
    <w:rsid w:val="3CD22FBF"/>
    <w:rsid w:val="3CF23ECD"/>
    <w:rsid w:val="3D1171D2"/>
    <w:rsid w:val="3D8C23EB"/>
    <w:rsid w:val="3F7D0020"/>
    <w:rsid w:val="426A535D"/>
    <w:rsid w:val="43206AEB"/>
    <w:rsid w:val="43C33E75"/>
    <w:rsid w:val="45566F3E"/>
    <w:rsid w:val="45E176F5"/>
    <w:rsid w:val="47572067"/>
    <w:rsid w:val="47CB4D90"/>
    <w:rsid w:val="47E72357"/>
    <w:rsid w:val="49BB765D"/>
    <w:rsid w:val="4A050A82"/>
    <w:rsid w:val="4B632F0D"/>
    <w:rsid w:val="4C706D48"/>
    <w:rsid w:val="4D3D0CB3"/>
    <w:rsid w:val="4E85172D"/>
    <w:rsid w:val="4EEF50F6"/>
    <w:rsid w:val="4EF43560"/>
    <w:rsid w:val="4F3B1489"/>
    <w:rsid w:val="4F483DBB"/>
    <w:rsid w:val="4F6C004E"/>
    <w:rsid w:val="4FB16576"/>
    <w:rsid w:val="4FDA3D9C"/>
    <w:rsid w:val="5161320D"/>
    <w:rsid w:val="516E18D3"/>
    <w:rsid w:val="51C122F4"/>
    <w:rsid w:val="5295062B"/>
    <w:rsid w:val="529D3D3B"/>
    <w:rsid w:val="52BA0F9C"/>
    <w:rsid w:val="53AA1C2E"/>
    <w:rsid w:val="545258C3"/>
    <w:rsid w:val="54DC3C65"/>
    <w:rsid w:val="54F2427F"/>
    <w:rsid w:val="54F6005B"/>
    <w:rsid w:val="55A17ABC"/>
    <w:rsid w:val="55AE3B6C"/>
    <w:rsid w:val="56437FED"/>
    <w:rsid w:val="56AE2E1B"/>
    <w:rsid w:val="56B04078"/>
    <w:rsid w:val="56E3194B"/>
    <w:rsid w:val="572500C0"/>
    <w:rsid w:val="57632BF2"/>
    <w:rsid w:val="57921FC0"/>
    <w:rsid w:val="5809144C"/>
    <w:rsid w:val="588B5D51"/>
    <w:rsid w:val="599204F9"/>
    <w:rsid w:val="5A326681"/>
    <w:rsid w:val="5A687E35"/>
    <w:rsid w:val="5AB83858"/>
    <w:rsid w:val="5AEB691C"/>
    <w:rsid w:val="5BE11BF1"/>
    <w:rsid w:val="5C5259FD"/>
    <w:rsid w:val="5C731E4A"/>
    <w:rsid w:val="5C9B2D8E"/>
    <w:rsid w:val="5CFA315F"/>
    <w:rsid w:val="5DCC40A2"/>
    <w:rsid w:val="5E252B8E"/>
    <w:rsid w:val="5E2C53A2"/>
    <w:rsid w:val="5E762C83"/>
    <w:rsid w:val="5EA205D6"/>
    <w:rsid w:val="5EE27C7B"/>
    <w:rsid w:val="5F4C2474"/>
    <w:rsid w:val="60E64413"/>
    <w:rsid w:val="616B7829"/>
    <w:rsid w:val="61B25B8C"/>
    <w:rsid w:val="61E46825"/>
    <w:rsid w:val="63193340"/>
    <w:rsid w:val="63C575ED"/>
    <w:rsid w:val="641C04D3"/>
    <w:rsid w:val="64932537"/>
    <w:rsid w:val="649C3EBA"/>
    <w:rsid w:val="65146522"/>
    <w:rsid w:val="65DA73E7"/>
    <w:rsid w:val="66733A79"/>
    <w:rsid w:val="677C174A"/>
    <w:rsid w:val="6A2743F1"/>
    <w:rsid w:val="6B62425D"/>
    <w:rsid w:val="6BEC1968"/>
    <w:rsid w:val="6C420332"/>
    <w:rsid w:val="6C761E9F"/>
    <w:rsid w:val="6C84107C"/>
    <w:rsid w:val="6D46395E"/>
    <w:rsid w:val="6D5D65FB"/>
    <w:rsid w:val="6DB52A72"/>
    <w:rsid w:val="6DFA5228"/>
    <w:rsid w:val="6DFE1A70"/>
    <w:rsid w:val="6E86176C"/>
    <w:rsid w:val="6F0F000A"/>
    <w:rsid w:val="70F65CA1"/>
    <w:rsid w:val="71745BBB"/>
    <w:rsid w:val="718E7FA9"/>
    <w:rsid w:val="71DE5550"/>
    <w:rsid w:val="72FF5717"/>
    <w:rsid w:val="7325215A"/>
    <w:rsid w:val="739F639D"/>
    <w:rsid w:val="73FF3A80"/>
    <w:rsid w:val="74184249"/>
    <w:rsid w:val="74BE0F77"/>
    <w:rsid w:val="75CA2D56"/>
    <w:rsid w:val="770C1879"/>
    <w:rsid w:val="770D4272"/>
    <w:rsid w:val="77C143C6"/>
    <w:rsid w:val="789647E2"/>
    <w:rsid w:val="78DA7072"/>
    <w:rsid w:val="79450B6E"/>
    <w:rsid w:val="7A8A720A"/>
    <w:rsid w:val="7B276502"/>
    <w:rsid w:val="7B2A2F7A"/>
    <w:rsid w:val="7B5E6471"/>
    <w:rsid w:val="7B750556"/>
    <w:rsid w:val="7C2C08BF"/>
    <w:rsid w:val="7C540959"/>
    <w:rsid w:val="7CEB3465"/>
    <w:rsid w:val="7E08431C"/>
    <w:rsid w:val="7E16043F"/>
    <w:rsid w:val="7E37574B"/>
    <w:rsid w:val="7E675BD6"/>
    <w:rsid w:val="7EDD1953"/>
    <w:rsid w:val="7F1D1981"/>
    <w:rsid w:val="7FB15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3"/>
    <w:basedOn w:val="1"/>
    <w:next w:val="1"/>
    <w:unhideWhenUsed/>
    <w:qFormat/>
    <w:uiPriority w:val="9"/>
    <w:pPr>
      <w:autoSpaceDE w:val="0"/>
      <w:autoSpaceDN w:val="0"/>
      <w:adjustRightInd w:val="0"/>
      <w:spacing w:before="16"/>
      <w:jc w:val="left"/>
      <w:outlineLvl w:val="2"/>
    </w:pPr>
    <w:rPr>
      <w:rFonts w:ascii="仿宋_GB2312" w:eastAsia="仿宋_GB2312"/>
      <w:b/>
      <w:sz w:val="2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3"/>
    <w:qFormat/>
    <w:uiPriority w:val="0"/>
    <w:pPr>
      <w:jc w:val="left"/>
    </w:p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3"/>
    <w:next w:val="3"/>
    <w:link w:val="14"/>
    <w:qFormat/>
    <w:uiPriority w:val="0"/>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kern w:val="2"/>
      <w:sz w:val="18"/>
      <w:szCs w:val="18"/>
    </w:rPr>
  </w:style>
  <w:style w:type="character" w:customStyle="1" w:styleId="12">
    <w:name w:val="页脚 字符"/>
    <w:basedOn w:val="9"/>
    <w:link w:val="4"/>
    <w:qFormat/>
    <w:uiPriority w:val="0"/>
    <w:rPr>
      <w:kern w:val="2"/>
      <w:sz w:val="18"/>
      <w:szCs w:val="18"/>
    </w:rPr>
  </w:style>
  <w:style w:type="character" w:customStyle="1" w:styleId="13">
    <w:name w:val="批注文字 字符"/>
    <w:basedOn w:val="9"/>
    <w:link w:val="3"/>
    <w:qFormat/>
    <w:uiPriority w:val="0"/>
    <w:rPr>
      <w:kern w:val="2"/>
      <w:sz w:val="21"/>
    </w:rPr>
  </w:style>
  <w:style w:type="character" w:customStyle="1" w:styleId="14">
    <w:name w:val="批注主题 字符"/>
    <w:basedOn w:val="13"/>
    <w:link w:val="6"/>
    <w:qFormat/>
    <w:uiPriority w:val="0"/>
    <w:rPr>
      <w:b/>
      <w:bCs/>
      <w:kern w:val="2"/>
      <w:sz w:val="21"/>
    </w:rPr>
  </w:style>
  <w:style w:type="character" w:customStyle="1" w:styleId="15">
    <w:name w:val="font21"/>
    <w:basedOn w:val="9"/>
    <w:qFormat/>
    <w:uiPriority w:val="0"/>
    <w:rPr>
      <w:rFonts w:hint="eastAsia" w:ascii="宋体" w:hAnsi="宋体" w:eastAsia="宋体" w:cs="宋体"/>
      <w:color w:val="000000"/>
      <w:sz w:val="20"/>
      <w:szCs w:val="20"/>
      <w:u w:val="none"/>
    </w:rPr>
  </w:style>
  <w:style w:type="character" w:customStyle="1" w:styleId="16">
    <w:name w:val="font11"/>
    <w:basedOn w:val="9"/>
    <w:qFormat/>
    <w:uiPriority w:val="0"/>
    <w:rPr>
      <w:rFonts w:ascii="Arial" w:hAnsi="Arial" w:cs="Arial"/>
      <w:color w:val="000000"/>
      <w:sz w:val="20"/>
      <w:szCs w:val="20"/>
      <w:u w:val="none"/>
    </w:rPr>
  </w:style>
  <w:style w:type="paragraph" w:styleId="17">
    <w:name w:val="List Paragraph"/>
    <w:basedOn w:val="1"/>
    <w:qFormat/>
    <w:uiPriority w:val="99"/>
    <w:pPr>
      <w:ind w:firstLine="420" w:firstLineChars="200"/>
    </w:pPr>
  </w:style>
  <w:style w:type="character" w:customStyle="1" w:styleId="18">
    <w:name w:val="font51"/>
    <w:basedOn w:val="9"/>
    <w:qFormat/>
    <w:uiPriority w:val="0"/>
    <w:rPr>
      <w:rFonts w:hint="eastAsia" w:ascii="宋体" w:hAnsi="宋体" w:eastAsia="宋体" w:cs="宋体"/>
      <w:color w:val="000000"/>
      <w:sz w:val="20"/>
      <w:szCs w:val="20"/>
      <w:u w:val="none"/>
    </w:rPr>
  </w:style>
  <w:style w:type="character" w:customStyle="1" w:styleId="19">
    <w:name w:val="font01"/>
    <w:basedOn w:val="9"/>
    <w:qFormat/>
    <w:uiPriority w:val="0"/>
    <w:rPr>
      <w:rFonts w:hint="eastAsia" w:ascii="方正仿宋_GBK" w:hAnsi="方正仿宋_GBK" w:eastAsia="方正仿宋_GBK" w:cs="方正仿宋_GBK"/>
      <w:color w:val="000000"/>
      <w:sz w:val="20"/>
      <w:szCs w:val="20"/>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1751</Words>
  <Characters>9986</Characters>
  <Lines>83</Lines>
  <Paragraphs>23</Paragraphs>
  <TotalTime>3</TotalTime>
  <ScaleCrop>false</ScaleCrop>
  <LinksUpToDate>false</LinksUpToDate>
  <CharactersWithSpaces>11714</CharactersWithSpaces>
  <Application>WPS Office_11.8.6.8811_F1E327BC-269C-435d-A152-05C5408002CA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2021-04-26T03:21:00Z</dcterms:created>
  <dc:creator>高晶</dc:creator>
  <cp:lastModifiedBy>王德梁</cp:lastModifiedBy>
  <cp:lastPrinted>2021-08-09T07:56:56Z</cp:lastPrinted>
  <dcterms:modified xsi:type="dcterms:W3CDTF">2021-08-09T08:30:32Z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KSOSaveFontToCloudKey">
    <vt:lpwstr>1025518875_btnclosed</vt:lpwstr>
  </property>
  <property fmtid="{D5CDD505-2E9C-101B-9397-08002B2CF9AE}" pid="4" name="ICV">
    <vt:lpwstr>FF8AAC8159994C2195A51A77C4CA5D61</vt:lpwstr>
  </property>
</Properties>
</file>