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color w:val="auto"/>
          <w:sz w:val="32"/>
          <w:szCs w:val="32"/>
          <w:highlight w:val="none"/>
        </w:rPr>
        <w:t xml:space="preserve">  </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重庆通邑物业管理有限公司</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 xml:space="preserve"> </w:t>
      </w:r>
      <w:r>
        <w:rPr>
          <w:rFonts w:hint="eastAsia" w:ascii="方正小标宋_GBK" w:hAnsi="方正小标宋_GBK" w:eastAsia="方正小标宋_GBK" w:cs="方正小标宋_GBK"/>
          <w:b/>
          <w:bCs/>
          <w:sz w:val="32"/>
          <w:szCs w:val="32"/>
          <w:u w:val="none"/>
        </w:rPr>
        <w:t>轨道2号线轨行区</w:t>
      </w:r>
      <w:r>
        <w:rPr>
          <w:rFonts w:hint="eastAsia" w:ascii="方正小标宋_GBK" w:hAnsi="方正小标宋_GBK" w:eastAsia="方正小标宋_GBK" w:cs="方正小标宋_GBK"/>
          <w:b/>
          <w:bCs/>
          <w:sz w:val="32"/>
          <w:szCs w:val="32"/>
          <w:u w:val="none"/>
          <w:lang w:eastAsia="zh-CN"/>
        </w:rPr>
        <w:t>、</w:t>
      </w:r>
      <w:r>
        <w:rPr>
          <w:rFonts w:hint="eastAsia" w:ascii="方正小标宋_GBK" w:hAnsi="方正小标宋_GBK" w:eastAsia="方正小标宋_GBK" w:cs="方正小标宋_GBK"/>
          <w:b/>
          <w:bCs/>
          <w:sz w:val="32"/>
          <w:szCs w:val="32"/>
          <w:u w:val="none"/>
        </w:rPr>
        <w:t>沟渠池井清掏冲洗及抽排</w:t>
      </w:r>
      <w:r>
        <w:rPr>
          <w:rFonts w:hint="eastAsia" w:ascii="方正小标宋_GBK" w:hAnsi="方正小标宋_GBK" w:eastAsia="方正小标宋_GBK" w:cs="方正小标宋_GBK"/>
          <w:b/>
          <w:bCs/>
          <w:sz w:val="32"/>
          <w:szCs w:val="32"/>
          <w:u w:val="none"/>
          <w:lang w:eastAsia="zh-CN"/>
        </w:rPr>
        <w:t>服务</w:t>
      </w:r>
      <w:bookmarkStart w:id="0" w:name="_GoBack"/>
      <w:bookmarkEnd w:id="0"/>
      <w:r>
        <w:rPr>
          <w:rFonts w:hint="eastAsia" w:ascii="方正小标宋_GBK" w:hAnsi="方正小标宋_GBK" w:eastAsia="方正小标宋_GBK" w:cs="方正小标宋_GBK"/>
          <w:b/>
          <w:bCs/>
          <w:sz w:val="32"/>
          <w:szCs w:val="32"/>
        </w:rPr>
        <w:t>项目</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比选邀请函</w:t>
      </w:r>
    </w:p>
    <w:p>
      <w:pPr>
        <w:rPr>
          <w:rFonts w:hint="eastAsia" w:ascii="方正仿宋_GBK" w:hAnsi="方正仿宋_GBK" w:eastAsia="方正仿宋_GBK" w:cs="方正仿宋_GBK"/>
          <w:color w:val="auto"/>
          <w:sz w:val="28"/>
          <w:szCs w:val="28"/>
          <w:highlight w:val="none"/>
          <w:u w:val="single"/>
        </w:rPr>
      </w:pPr>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 </w:t>
      </w:r>
      <w:r>
        <w:rPr>
          <w:rFonts w:hint="eastAsia" w:ascii="方正仿宋_GBK" w:hAnsi="方正仿宋_GBK" w:eastAsia="方正仿宋_GBK" w:cs="方正仿宋_GBK"/>
          <w:color w:val="auto"/>
          <w:sz w:val="28"/>
          <w:szCs w:val="28"/>
          <w:highlight w:val="none"/>
          <w:u w:val="single"/>
        </w:rPr>
        <w:t>轨道2号线</w:t>
      </w:r>
      <w:r>
        <w:rPr>
          <w:rFonts w:hint="eastAsia" w:ascii="方正仿宋_GBK" w:hAnsi="方正仿宋_GBK" w:eastAsia="方正仿宋_GBK" w:cs="方正仿宋_GBK"/>
          <w:color w:val="auto"/>
          <w:sz w:val="28"/>
          <w:szCs w:val="28"/>
          <w:highlight w:val="none"/>
          <w:u w:val="single"/>
          <w:lang w:eastAsia="zh-CN"/>
        </w:rPr>
        <w:t>轨行区、沟渠池井</w:t>
      </w:r>
      <w:r>
        <w:rPr>
          <w:rFonts w:hint="eastAsia" w:ascii="方正仿宋_GBK" w:hAnsi="方正仿宋_GBK" w:eastAsia="方正仿宋_GBK" w:cs="方正仿宋_GBK"/>
          <w:color w:val="auto"/>
          <w:sz w:val="28"/>
          <w:szCs w:val="28"/>
          <w:highlight w:val="none"/>
          <w:u w:val="single"/>
        </w:rPr>
        <w:t>清掏冲洗及抽排</w:t>
      </w:r>
      <w:r>
        <w:rPr>
          <w:rFonts w:hint="eastAsia" w:ascii="方正仿宋_GBK" w:hAnsi="方正仿宋_GBK" w:eastAsia="方正仿宋_GBK" w:cs="方正仿宋_GBK"/>
          <w:color w:val="auto"/>
          <w:sz w:val="28"/>
          <w:szCs w:val="28"/>
          <w:highlight w:val="none"/>
        </w:rPr>
        <w:t xml:space="preserve"> 工作，本次施工工作实施单位的确定将采用比选方式进行。现邀请贵单位作为潜在比选被邀请人之一参加报价和谈判。具体项目情况如下： </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4" w:type="dxa"/>
            <w:gridSpan w:val="5"/>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轨行区、沟渠池井</w:t>
            </w:r>
            <w:r>
              <w:rPr>
                <w:rFonts w:hint="eastAsia" w:ascii="方正仿宋_GBK" w:hAnsi="方正仿宋_GBK" w:eastAsia="方正仿宋_GBK" w:cs="方正仿宋_GBK"/>
                <w:color w:val="auto"/>
                <w:sz w:val="24"/>
                <w:highlight w:val="none"/>
              </w:rPr>
              <w:t>清掏冲洗及抽排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kern w:val="0"/>
                <w:sz w:val="24"/>
                <w:highlight w:val="none"/>
              </w:rPr>
              <w:t>本次招标项目合同总价最高限制：</w:t>
            </w:r>
            <w:r>
              <w:rPr>
                <w:rFonts w:hint="eastAsia" w:ascii="方正仿宋_GBK" w:hAnsi="方正仿宋_GBK" w:eastAsia="方正仿宋_GBK" w:cs="方正仿宋_GBK"/>
                <w:color w:val="auto"/>
                <w:sz w:val="24"/>
                <w:highlight w:val="none"/>
                <w:u w:val="single"/>
              </w:rPr>
              <w:t>431000</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u w:val="single"/>
              </w:rPr>
              <w:t xml:space="preserve"> </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，需出具增值税专用发票</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单项价格最高限制见附件</w:t>
            </w:r>
            <w:r>
              <w:rPr>
                <w:rFonts w:hint="eastAsia" w:ascii="Times New Roman" w:hAnsi="Times New Roman" w:eastAsia="方正仿宋_GBK"/>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35"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2 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2 号线 24 座车站较场口站至大江站所属车站、变电所包括但不限于：污水池、生化池清掏；未接入市政管网的生化池临时抽排；集水坑清掏；车站泵房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沼气浓度，乙方在施工中应加强通风、防毒，防止人员中毒，按时、按量、按要求完成清掏、疏通、检查等工作。</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工    期</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预计开工时间</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4" w:type="dxa"/>
            <w:gridSpan w:val="5"/>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229" w:type="dxa"/>
            <w:gridSpan w:val="3"/>
            <w:vAlign w:val="center"/>
          </w:tcPr>
          <w:p>
            <w:pPr>
              <w:spacing w:line="44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56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29" w:type="dxa"/>
            <w:gridSpan w:val="3"/>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229" w:type="dxa"/>
            <w:gridSpan w:val="3"/>
            <w:vAlign w:val="center"/>
          </w:tcPr>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r>
              <w:rPr>
                <w:rFonts w:hint="eastAsia" w:ascii="方正仿宋_GBK" w:hAnsi="方正仿宋_GBK" w:eastAsia="方正仿宋_GBK" w:cs="方正仿宋_GBK"/>
                <w:color w:val="auto"/>
                <w:sz w:val="24"/>
                <w:highlight w:val="none"/>
              </w:rPr>
              <w:t xml:space="preserve">。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时0</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 xml:space="preserve">分截止。    </w:t>
            </w:r>
          </w:p>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3、领取和递交文件地点：重庆市南岸区腾龙大道58号附25号通邑公司物管部。</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时0</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分。</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Cs/>
                <w:color w:val="auto"/>
                <w:sz w:val="24"/>
                <w:highlight w:val="none"/>
              </w:rPr>
              <w:t>比选的最高含税限价</w:t>
            </w:r>
            <w:r>
              <w:rPr>
                <w:rFonts w:hint="eastAsia" w:ascii="方正仿宋_GBK" w:hAnsi="方正仿宋_GBK" w:eastAsia="方正仿宋_GBK" w:cs="方正仿宋_GBK"/>
                <w:color w:val="auto"/>
                <w:sz w:val="24"/>
                <w:highlight w:val="none"/>
                <w:u w:val="single"/>
              </w:rPr>
              <w:t>431000</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不含税，需出具增值税专用发票），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w:t>
            </w:r>
            <w:r>
              <w:rPr>
                <w:rFonts w:hint="eastAsia" w:ascii="方正仿宋_GBK" w:hAnsi="方正仿宋_GBK" w:eastAsia="方正仿宋_GBK" w:cs="方正仿宋_GBK"/>
                <w:color w:val="auto"/>
                <w:sz w:val="24"/>
                <w:highlight w:val="none"/>
                <w:lang w:val="en-US" w:eastAsia="zh-CN"/>
              </w:rPr>
              <w:t>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时0</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轨行区、沟渠池井清掏冲洗抽排</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29" w:type="dxa"/>
            <w:gridSpan w:val="3"/>
            <w:vAlign w:val="center"/>
          </w:tcPr>
          <w:p>
            <w:pPr>
              <w:spacing w:line="440" w:lineRule="exact"/>
              <w:ind w:firstLine="560"/>
              <w:rPr>
                <w:rFonts w:hint="eastAsia" w:ascii="方正仿宋_GBK" w:hAnsi="方正仿宋_GBK" w:cs="方正仿宋_GBK" w:eastAsiaTheme="minorEastAsia"/>
                <w:color w:val="auto"/>
                <w:sz w:val="24"/>
                <w:highlight w:val="none"/>
                <w:lang w:eastAsia="zh-CN"/>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项目服务费用按季度支付</w:t>
            </w:r>
            <w:r>
              <w:rPr>
                <w:rFonts w:hint="eastAsia" w:ascii="方正仿宋_GBK" w:hAnsi="方正仿宋_GBK" w:eastAsia="方正仿宋_GBK" w:cs="方正仿宋_GBK"/>
                <w:color w:val="auto"/>
                <w:sz w:val="24"/>
                <w:szCs w:val="24"/>
                <w:highlight w:val="none"/>
              </w:rPr>
              <w:t>，每季度</w:t>
            </w:r>
            <w:r>
              <w:rPr>
                <w:rFonts w:hint="eastAsia" w:ascii="方正仿宋_GBK" w:hAnsi="方正仿宋_GBK" w:eastAsia="方正仿宋_GBK" w:cs="方正仿宋_GBK"/>
                <w:color w:val="auto"/>
                <w:sz w:val="24"/>
                <w:szCs w:val="24"/>
                <w:highlight w:val="none"/>
                <w:lang w:val="en-US" w:eastAsia="zh-CN"/>
              </w:rPr>
              <w:t>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29" w:type="dxa"/>
            <w:gridSpan w:val="3"/>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4" w:type="dxa"/>
            <w:gridSpan w:val="5"/>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exact"/>
        </w:trPr>
        <w:tc>
          <w:tcPr>
            <w:tcW w:w="9464" w:type="dxa"/>
            <w:gridSpan w:val="5"/>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54" w:type="dxa"/>
            <w:gridSpan w:val="2"/>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54"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rPr>
          <w:color w:val="auto"/>
          <w:highlight w:val="none"/>
        </w:r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附件</w:t>
      </w:r>
      <w:r>
        <w:rPr>
          <w:rFonts w:hint="eastAsia" w:ascii="方正仿宋_GBK" w:hAnsi="方正仿宋_GBK" w:eastAsia="方正仿宋_GBK" w:cs="方正仿宋_GBK"/>
          <w:color w:val="auto"/>
          <w:sz w:val="28"/>
          <w:szCs w:val="28"/>
          <w:highlight w:val="none"/>
          <w:lang w:val="en-US" w:eastAsia="zh-CN"/>
        </w:rPr>
        <w:t>1</w:t>
      </w:r>
    </w:p>
    <w:tbl>
      <w:tblPr>
        <w:tblStyle w:val="9"/>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2221"/>
        <w:gridCol w:w="1110"/>
        <w:gridCol w:w="1111"/>
        <w:gridCol w:w="1542"/>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77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暂定工程量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道岔桥清洁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区间轨行区路基清洁卫生及杂草清除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雨棚及区间防坠网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边坡、挡墙清洁卫生及杂草清除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车站生化池清掏（除平安站、大渡口、新山村站）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车站生化池清掏（平安站、大渡口、新山村站）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污水井清掏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隔油池清掏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车站、区间废水池清掏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车站集水井（池）清掏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文件格式</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比选函</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4"/>
        </w:num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愿意接受比选函中提出的酬金支付方式以含税价：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元、不含税价：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作为本项目报价。（所填报数字必须保留至小数点后2位，小数点后无数字时填写0）。</w:t>
      </w:r>
    </w:p>
    <w:p>
      <w:pPr>
        <w:pStyle w:val="2"/>
        <w:numPr>
          <w:ilvl w:val="255"/>
          <w:numId w:val="0"/>
        </w:numPr>
        <w:ind w:left="560"/>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(2)我司承诺合同工期为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日历天，我司确保在该工期内完工。</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(3)我们已详细阅读了比选函全部内容，我们知道必须放弃提出含糊不清或误解的问题的权利。</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(4)我们保证根据规定履行合同责任和义务。</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(5)本比选函自开启之日起至项目全部完成之内有效。</w:t>
      </w:r>
    </w:p>
    <w:p>
      <w:pP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报价人法定代表人或授权代理人签字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jc w:val="center"/>
        <w:rPr>
          <w:rFonts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color w:val="auto"/>
          <w:sz w:val="28"/>
          <w:szCs w:val="28"/>
          <w:highlight w:val="none"/>
        </w:rPr>
        <w:t xml:space="preserve">格式二  </w:t>
      </w:r>
      <w:r>
        <w:rPr>
          <w:rFonts w:hint="eastAsia" w:ascii="方正小标宋_GBK" w:hAnsi="方正小标宋_GBK" w:eastAsia="方正小标宋_GBK" w:cs="方正小标宋_GBK"/>
          <w:b/>
          <w:bCs/>
          <w:color w:val="auto"/>
          <w:sz w:val="36"/>
          <w:szCs w:val="36"/>
          <w:highlight w:val="none"/>
        </w:rPr>
        <w:t>作业清单及报价</w:t>
      </w:r>
    </w:p>
    <w:p>
      <w:pPr>
        <w:rPr>
          <w:color w:val="auto"/>
          <w:highlight w:val="none"/>
        </w:rPr>
      </w:pPr>
      <w:r>
        <w:rPr>
          <w:rFonts w:hint="eastAsia" w:ascii="方正仿宋_GBK" w:hAnsi="方正仿宋_GBK" w:eastAsia="方正仿宋_GBK" w:cs="方正仿宋_GBK"/>
          <w:color w:val="auto"/>
          <w:sz w:val="28"/>
          <w:szCs w:val="28"/>
          <w:highlight w:val="none"/>
        </w:rPr>
        <w:t>一、作业清单</w:t>
      </w:r>
    </w:p>
    <w:p>
      <w:pPr>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1、污水池、生化池、隔油池清掏数量清单</w:t>
      </w:r>
    </w:p>
    <w:tbl>
      <w:tblPr>
        <w:tblStyle w:val="9"/>
        <w:tblW w:w="9214" w:type="dxa"/>
        <w:tblInd w:w="108" w:type="dxa"/>
        <w:tblLayout w:type="fixed"/>
        <w:tblCellMar>
          <w:top w:w="0" w:type="dxa"/>
          <w:left w:w="108" w:type="dxa"/>
          <w:bottom w:w="0" w:type="dxa"/>
          <w:right w:w="108" w:type="dxa"/>
        </w:tblCellMar>
      </w:tblPr>
      <w:tblGrid>
        <w:gridCol w:w="2120"/>
        <w:gridCol w:w="2026"/>
        <w:gridCol w:w="2400"/>
        <w:gridCol w:w="1312"/>
        <w:gridCol w:w="1356"/>
      </w:tblGrid>
      <w:tr>
        <w:trPr>
          <w:trHeight w:val="856" w:hRule="exact"/>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2号线车站、变电所、控制中心污水池、生化池、隔油池清掏数量清单</w:t>
            </w:r>
          </w:p>
        </w:tc>
      </w:tr>
      <w:tr>
        <w:tblPrEx>
          <w:tblCellMar>
            <w:top w:w="0" w:type="dxa"/>
            <w:left w:w="108" w:type="dxa"/>
            <w:bottom w:w="0" w:type="dxa"/>
            <w:right w:w="108" w:type="dxa"/>
          </w:tblCellMar>
        </w:tblPrEx>
        <w:trPr>
          <w:trHeight w:val="954"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w:t>
            </w:r>
          </w:p>
        </w:tc>
        <w:tc>
          <w:tcPr>
            <w:tcW w:w="202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污水池体积m³</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生化池体积m³</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污水池量（个）</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生化池量（个）</w:t>
            </w:r>
          </w:p>
        </w:tc>
      </w:tr>
      <w:tr>
        <w:trPr>
          <w:trHeight w:val="53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较场口站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9.66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65.28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CellMar>
            <w:top w:w="0" w:type="dxa"/>
            <w:left w:w="108" w:type="dxa"/>
            <w:bottom w:w="0" w:type="dxa"/>
            <w:right w:w="108" w:type="dxa"/>
          </w:tblCellMar>
        </w:tblPrEx>
        <w:trPr>
          <w:trHeight w:val="41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临江门站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65.28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23"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黄花园站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63.74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586"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大溪沟站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46.37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629"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曾家岩站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22.5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16"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牛角沱站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564"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李子坝站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佛图关站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36.75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36.75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袁家岗站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谢家湾站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杨家坪站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动物园站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大堰村站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马王场站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46.37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平安站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79.97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大渡口站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29.79</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新山村站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500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大坪控制中心</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205.2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动物园主变电所</w:t>
            </w:r>
          </w:p>
        </w:tc>
        <w:tc>
          <w:tcPr>
            <w:tcW w:w="20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110.43</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天堂堡</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122.88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建桥</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金家湾</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刘家坝</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白居寺</w:t>
            </w:r>
          </w:p>
        </w:tc>
        <w:tc>
          <w:tcPr>
            <w:tcW w:w="20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大江</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大坪控制中心隔油池</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体积m³</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数量（个）</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rPr>
          <w:trHeight w:val="566" w:hRule="exact"/>
        </w:trPr>
        <w:tc>
          <w:tcPr>
            <w:tcW w:w="2120"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合计</w:t>
            </w:r>
          </w:p>
        </w:tc>
        <w:tc>
          <w:tcPr>
            <w:tcW w:w="4426" w:type="dxa"/>
            <w:gridSpan w:val="2"/>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清掏体积：</w:t>
            </w:r>
            <w:r>
              <w:rPr>
                <w:rFonts w:hint="eastAsia" w:ascii="方正仿宋_GBK" w:hAnsi="方正仿宋_GBK" w:eastAsia="方正仿宋_GBK" w:cs="方正仿宋_GBK"/>
                <w:color w:val="auto"/>
                <w:kern w:val="0"/>
                <w:szCs w:val="21"/>
                <w:highlight w:val="none"/>
              </w:rPr>
              <w:t>1868.79</w:t>
            </w:r>
            <w:r>
              <w:rPr>
                <w:rFonts w:hint="eastAsia" w:ascii="方正仿宋_GBK" w:hAnsi="方正仿宋_GBK" w:eastAsia="方正仿宋_GBK" w:cs="方正仿宋_GBK"/>
                <w:bCs/>
                <w:snapToGrid w:val="0"/>
                <w:color w:val="auto"/>
                <w:kern w:val="0"/>
                <w:szCs w:val="21"/>
                <w:highlight w:val="none"/>
              </w:rPr>
              <w:t>m³</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31个</w:t>
            </w:r>
          </w:p>
        </w:tc>
      </w:tr>
      <w:tr>
        <w:trPr>
          <w:trHeight w:val="1560" w:hRule="exact"/>
        </w:trPr>
        <w:tc>
          <w:tcPr>
            <w:tcW w:w="2120"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7094" w:type="dxa"/>
            <w:gridSpan w:val="4"/>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清掏：实际执行的总清掏方量×单价（每季度一次，部分车站因客流量不同，甲方可根据实际情况调整清掏频次）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2、车站排水设施清洁清单  </w:t>
      </w:r>
    </w:p>
    <w:tbl>
      <w:tblPr>
        <w:tblStyle w:val="9"/>
        <w:tblW w:w="9229" w:type="dxa"/>
        <w:tblInd w:w="0" w:type="dxa"/>
        <w:tblLayout w:type="fixed"/>
        <w:tblCellMar>
          <w:top w:w="0" w:type="dxa"/>
          <w:left w:w="0" w:type="dxa"/>
          <w:bottom w:w="0" w:type="dxa"/>
          <w:right w:w="0" w:type="dxa"/>
        </w:tblCellMar>
      </w:tblPr>
      <w:tblGrid>
        <w:gridCol w:w="724"/>
        <w:gridCol w:w="3827"/>
        <w:gridCol w:w="1985"/>
        <w:gridCol w:w="1276"/>
        <w:gridCol w:w="1417"/>
      </w:tblGrid>
      <w:tr>
        <w:tblPrEx>
          <w:tblCellMar>
            <w:top w:w="0" w:type="dxa"/>
            <w:left w:w="0" w:type="dxa"/>
            <w:bottom w:w="0" w:type="dxa"/>
            <w:right w:w="0" w:type="dxa"/>
          </w:tblCellMar>
        </w:tblPrEx>
        <w:trPr>
          <w:trHeight w:val="536" w:hRule="atLeast"/>
        </w:trPr>
        <w:tc>
          <w:tcPr>
            <w:tcW w:w="9229" w:type="dxa"/>
            <w:gridSpan w:val="5"/>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2号线一期北段车站排水设施清洁清单</w:t>
            </w:r>
          </w:p>
        </w:tc>
      </w:tr>
      <w:tr>
        <w:tblPrEx>
          <w:tblCellMar>
            <w:top w:w="0" w:type="dxa"/>
            <w:left w:w="0" w:type="dxa"/>
            <w:bottom w:w="0" w:type="dxa"/>
            <w:right w:w="0" w:type="dxa"/>
          </w:tblCellMar>
        </w:tblPrEx>
        <w:trPr>
          <w:trHeight w:val="45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序号</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项目名称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单位</w:t>
            </w:r>
          </w:p>
        </w:tc>
        <w:tc>
          <w:tcPr>
            <w:tcW w:w="12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数量</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服务期内</w:t>
            </w:r>
          </w:p>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服务次数</w:t>
            </w:r>
          </w:p>
        </w:tc>
      </w:tr>
      <w:tr>
        <w:tblPrEx>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车站集水坑清掏（包含人工清掏、清运、二次转运）</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253.2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车站、区间废水池清掏</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55.32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85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清掏：实际执行的总清掏方量×单价（每年一次，部分车站因水质环境不同，甲方可根据实际情况调整清掏频次）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3、2号线轨行区清洁项目清单</w:t>
      </w:r>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826"/>
        <w:gridCol w:w="1012"/>
        <w:gridCol w:w="989"/>
        <w:gridCol w:w="115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restart"/>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轨行区清洁</w:t>
            </w: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服务频率</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总服务次数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隧道排水沟清掏</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9920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m</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次/季度</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隧道冲洗</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40800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道岔桥清洁</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5535</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区间轨行区路基段清洁卫生及杂草清除</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区间雨棚及防抛网清洁</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边坡、挡墙清洁卫生及杂草清除</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垃圾二次转运及处置</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25</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车（10t）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车·次</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33" w:type="dxa"/>
            <w:gridSpan w:val="6"/>
            <w:vAlign w:val="center"/>
          </w:tcPr>
          <w:p>
            <w:pPr>
              <w:widowControl/>
              <w:spacing w:line="276" w:lineRule="auto"/>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注：表格中工程量均为预估，具体工程量以现场实际发生且确认的工程量为准。</w:t>
            </w:r>
          </w:p>
        </w:tc>
      </w:tr>
    </w:tbl>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二、报价明细表</w:t>
      </w: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eastAsia="仿宋" w:cs="宋体"/>
                <w:b/>
                <w:color w:val="auto"/>
                <w:sz w:val="18"/>
                <w:szCs w:val="18"/>
                <w:highlight w:val="none"/>
              </w:rPr>
              <w:t>序号</w:t>
            </w:r>
          </w:p>
        </w:tc>
        <w:tc>
          <w:tcPr>
            <w:tcW w:w="1575"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服务内容</w:t>
            </w:r>
          </w:p>
        </w:tc>
        <w:tc>
          <w:tcPr>
            <w:tcW w:w="996"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单位</w:t>
            </w:r>
          </w:p>
        </w:tc>
        <w:tc>
          <w:tcPr>
            <w:tcW w:w="1217"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17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暂定次数</w:t>
            </w:r>
          </w:p>
        </w:tc>
        <w:tc>
          <w:tcPr>
            <w:tcW w:w="1332"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tc>
        <w:tc>
          <w:tcPr>
            <w:tcW w:w="1332"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含税总价（元）</w:t>
            </w:r>
          </w:p>
        </w:tc>
        <w:tc>
          <w:tcPr>
            <w:tcW w:w="152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（元/</w:t>
            </w:r>
            <w:r>
              <w:rPr>
                <w:rFonts w:ascii="宋体" w:hAnsi="宋体" w:cs="宋体"/>
                <w:b/>
                <w:color w:val="auto"/>
                <w:sz w:val="18"/>
                <w:szCs w:val="18"/>
                <w:highlight w:val="none"/>
              </w:rPr>
              <w:t>㎡）</w:t>
            </w:r>
          </w:p>
        </w:tc>
        <w:tc>
          <w:tcPr>
            <w:tcW w:w="1200"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隧道冲洗</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40800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2</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隧道排水沟清掏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9920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3</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垃圾清运</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车（10t）</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25</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4</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道岔桥清洁</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5535</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5</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bCs/>
                <w:color w:val="auto"/>
                <w:sz w:val="18"/>
                <w:szCs w:val="18"/>
                <w:highlight w:val="none"/>
              </w:rPr>
              <w:t>区间轨行区路基段清洁卫生及杂草清除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20000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6</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雨棚及区间防抛网</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7</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边坡、挡墙清洁卫生及杂草清除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8</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车站生化池清掏（除平安、大渡口、新山村站）</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1139.4</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9</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车站生化池清掏（平安、大渡口、新山村站）</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609.76</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10</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污水井清掏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21.66</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11</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隔油池清掏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18</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12</w:t>
            </w:r>
          </w:p>
        </w:tc>
        <w:tc>
          <w:tcPr>
            <w:tcW w:w="1575"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车站、区间废水池淸掏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55.32</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13</w:t>
            </w:r>
          </w:p>
        </w:tc>
        <w:tc>
          <w:tcPr>
            <w:tcW w:w="1575"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车站集水井（池）淸掏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253.2</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合计</w:t>
            </w:r>
          </w:p>
        </w:tc>
        <w:tc>
          <w:tcPr>
            <w:tcW w:w="1332" w:type="dxa"/>
            <w:vAlign w:val="center"/>
          </w:tcPr>
          <w:p>
            <w:pPr>
              <w:jc w:val="center"/>
              <w:rPr>
                <w:rFonts w:ascii="仿宋" w:hAnsi="仿宋" w:eastAsia="仿宋"/>
                <w:color w:val="auto"/>
                <w:sz w:val="22"/>
                <w:highlight w:val="none"/>
              </w:rPr>
            </w:pPr>
          </w:p>
        </w:tc>
        <w:tc>
          <w:tcPr>
            <w:tcW w:w="1332" w:type="dxa"/>
            <w:vAlign w:val="center"/>
          </w:tcPr>
          <w:p>
            <w:pPr>
              <w:jc w:val="center"/>
              <w:rPr>
                <w:rFonts w:ascii="仿宋" w:hAnsi="仿宋" w:eastAsia="仿宋"/>
                <w:color w:val="auto"/>
                <w:sz w:val="22"/>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格式三   </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spacing w:line="400" w:lineRule="exact"/>
        <w:ind w:firstLine="480" w:firstLineChars="200"/>
        <w:rPr>
          <w:rFonts w:asciiTheme="minorEastAsia" w:hAnsiTheme="minorEastAsia" w:cstheme="minorEastAsia"/>
          <w:color w:val="auto"/>
          <w:sz w:val="24"/>
          <w:highlight w:val="none"/>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（法定代表人姓名）系</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ascii="方正仿宋_GBK" w:hAnsi="方正仿宋_GBK" w:eastAsia="方正仿宋_GBK" w:cs="方正仿宋_GBK"/>
          <w:bCs/>
          <w:color w:val="auto"/>
          <w:kern w:val="0"/>
          <w:sz w:val="28"/>
          <w:szCs w:val="28"/>
          <w:highlight w:val="none"/>
        </w:rPr>
        <w:pict>
          <v:shape id="1048" o:spid="_x0000_s2053"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tEKXWAAAACgEAAA8AAAAAAAAAAQAgAAAA&#10;IgAAAGRycy9kb3ducmV2LnhtbFBLAQIUABQAAAAIAIdO4kC2W6zEDQIAAFgEAAAOAAAAAAAAAAEA&#10;IAAAACUBAABkcnMvZTJvRG9jLnhtbFBLBQYAAAAABgAGAFkBAACk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color w:val="auto"/>
          <w:kern w:val="0"/>
          <w:sz w:val="28"/>
          <w:szCs w:val="28"/>
          <w:highlight w:val="none"/>
        </w:rPr>
        <w:pict>
          <v:shape id="1049" o:spid="_x0000_s2052"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20vr1AAAAAgBAAAPAAAAAAAAAAEAIAAAACIA&#10;AABkcnMvZG93bnJldi54bWxQSwECFAAUAAAACACHTuJAGQufsw0CAABYBAAADgAAAAAAAAABACAA&#10;AAAjAQAAZHJzL2Uyb0RvYy54bWxQSwUGAAAAAAYABgBZAQAAogU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color w:val="auto"/>
          <w:kern w:val="0"/>
          <w:sz w:val="28"/>
          <w:szCs w:val="28"/>
          <w:highlight w:val="none"/>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jc w:val="center"/>
        <w:rPr>
          <w:rFonts w:ascii="方正仿宋_GBK" w:hAnsi="方正仿宋_GBK" w:eastAsia="方正仿宋_GBK" w:cs="方正仿宋_GBK"/>
          <w:color w:val="auto"/>
          <w:sz w:val="28"/>
          <w:szCs w:val="28"/>
          <w:highlight w:val="none"/>
        </w:rPr>
      </w:pPr>
    </w:p>
    <w:p>
      <w:pPr>
        <w:pStyle w:val="2"/>
        <w:rPr>
          <w:color w:val="auto"/>
          <w:highlight w:val="none"/>
        </w:rPr>
      </w:pPr>
    </w:p>
    <w:p>
      <w:pPr>
        <w:rPr>
          <w:rFonts w:ascii="方正仿宋_GBK" w:hAnsi="方正仿宋_GBK" w:eastAsia="方正仿宋_GBK" w:cs="方正仿宋_GBK"/>
          <w:color w:val="auto"/>
          <w:sz w:val="28"/>
          <w:szCs w:val="28"/>
          <w:highlight w:val="none"/>
        </w:rPr>
      </w:pPr>
    </w:p>
    <w:p>
      <w:pPr>
        <w:pStyle w:val="4"/>
        <w:rPr>
          <w:color w:val="auto"/>
          <w:highlight w:val="none"/>
        </w:rPr>
      </w:pPr>
    </w:p>
    <w:p>
      <w:pPr>
        <w:jc w:val="center"/>
        <w:rPr>
          <w:rFonts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w:pict>
          <v:shape id="_x0000_s2051" o:spid="_x0000_s2051"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3m1eHaAAAACgEAAA8AAAAA&#10;AAAAAQAgAAAAIgAAAGRycy9kb3ducmV2LnhtbFBLAQIUABQAAAAIAIdO4kAOZStbEgIAAEUEAAAO&#10;AAAAAAAAAAEAIAAAACkBAABkcnMvZTJvRG9jLnhtbFBLBQYAAAAABgAGAFkBAACt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color w:val="auto"/>
          <w:kern w:val="0"/>
          <w:sz w:val="28"/>
          <w:szCs w:val="28"/>
          <w:highlight w:val="none"/>
        </w:rPr>
        <w:pict>
          <v:shape id="_x0000_s2050" o:spid="_x0000_s2050"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sScDtoAAAAJAQAADwAAAAAA&#10;AAABACAAAAAiAAAAZHJzL2Rvd25yZXYueG1sUEsBAhQAFAAAAAgAh07iQDVQxGYRAgAARQQAAA4A&#10;AAAAAAAAAQAgAAAAKQEAAGRycy9lMm9Eb2MueG1sUEsFBgAAAAAGAAYAWQEAAKw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格式四 </w:t>
      </w:r>
      <w:r>
        <w:rPr>
          <w:rFonts w:hint="eastAsia" w:ascii="方正小标宋_GBK" w:hAnsi="方正小标宋_GBK" w:eastAsia="方正小标宋_GBK" w:cs="方正小标宋_GBK"/>
          <w:b/>
          <w:bCs/>
          <w:color w:val="auto"/>
          <w:sz w:val="36"/>
          <w:szCs w:val="36"/>
          <w:highlight w:val="none"/>
        </w:rPr>
        <w:t>合同文件</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合同详见附件</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w:t>
      </w:r>
    </w:p>
    <w:p>
      <w:pPr>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color w:val="auto"/>
          <w:highlight w:val="none"/>
        </w:rPr>
      </w:pPr>
    </w:p>
    <w:p>
      <w:pPr>
        <w:pStyle w:val="2"/>
        <w:rPr>
          <w:rFonts w:ascii="方正仿宋_GBK" w:hAnsi="方正仿宋_GBK" w:eastAsia="方正仿宋_GBK" w:cs="方正仿宋_GBK"/>
          <w:b w:val="0"/>
          <w:color w:val="auto"/>
          <w:kern w:val="0"/>
          <w:sz w:val="28"/>
          <w:szCs w:val="28"/>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格式五 </w:t>
      </w:r>
      <w:r>
        <w:rPr>
          <w:rFonts w:hint="eastAsia" w:ascii="方正小标宋_GBK" w:hAnsi="方正小标宋_GBK" w:eastAsia="方正小标宋_GBK" w:cs="方正小标宋_GBK"/>
          <w:b/>
          <w:bCs/>
          <w:color w:val="auto"/>
          <w:sz w:val="36"/>
          <w:szCs w:val="36"/>
          <w:highlight w:val="none"/>
        </w:rPr>
        <w:t>商务部分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格式六 </w:t>
      </w:r>
      <w:r>
        <w:rPr>
          <w:rFonts w:hint="eastAsia" w:ascii="方正小标宋_GBK" w:hAnsi="方正小标宋_GBK" w:eastAsia="方正小标宋_GBK" w:cs="方正小标宋_GBK"/>
          <w:b/>
          <w:bCs/>
          <w:color w:val="auto"/>
          <w:sz w:val="36"/>
          <w:szCs w:val="36"/>
          <w:highlight w:val="none"/>
        </w:rPr>
        <w:t>技术部分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格式七 </w:t>
      </w:r>
      <w:r>
        <w:rPr>
          <w:rFonts w:hint="eastAsia" w:ascii="方正小标宋_GBK" w:hAnsi="方正小标宋_GBK" w:eastAsia="方正小标宋_GBK" w:cs="方正小标宋_GBK"/>
          <w:b/>
          <w:bCs/>
          <w:color w:val="auto"/>
          <w:sz w:val="36"/>
          <w:szCs w:val="36"/>
          <w:highlight w:val="none"/>
        </w:rPr>
        <w:t>报价部分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
      <w:pPr>
        <w:pStyle w:val="2"/>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lang w:val="en-US" w:eastAsia="zh-CN"/>
        </w:rPr>
        <w:t>附件1</w:t>
      </w:r>
      <w:r>
        <w:rPr>
          <w:rFonts w:hint="eastAsia" w:ascii="方正小标宋_GBK" w:hAnsi="方正小标宋_GBK" w:eastAsia="方正小标宋_GBK" w:cs="方正小标宋_GBK"/>
          <w:b/>
          <w:bCs/>
          <w:color w:val="000000"/>
          <w:sz w:val="32"/>
          <w:szCs w:val="32"/>
          <w:u w:val="single"/>
          <w:lang w:val="en-US" w:eastAsia="zh-CN"/>
        </w:rPr>
        <w:t>轨道2号线</w:t>
      </w:r>
      <w:r>
        <w:rPr>
          <w:rFonts w:hint="eastAsia" w:ascii="方正小标宋_GBK" w:hAnsi="方正小标宋_GBK" w:eastAsia="方正小标宋_GBK" w:cs="方正小标宋_GBK"/>
          <w:b/>
          <w:bCs/>
          <w:color w:val="000000"/>
          <w:sz w:val="32"/>
          <w:szCs w:val="32"/>
          <w:u w:val="single"/>
        </w:rPr>
        <w:t xml:space="preserve"> </w:t>
      </w:r>
      <w:r>
        <w:rPr>
          <w:rFonts w:hint="eastAsia" w:ascii="方正小标宋_GBK" w:hAnsi="方正小标宋_GBK" w:eastAsia="方正小标宋_GBK" w:cs="方正小标宋_GBK"/>
          <w:b/>
          <w:bCs/>
          <w:color w:val="000000"/>
          <w:sz w:val="32"/>
          <w:szCs w:val="32"/>
          <w:lang w:eastAsia="zh-CN"/>
        </w:rPr>
        <w:t>轨行区、沟渠池井</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冲洗及抽排</w:t>
      </w:r>
      <w:r>
        <w:rPr>
          <w:rFonts w:hint="eastAsia" w:ascii="方正小标宋_GBK" w:hAnsi="方正小标宋_GBK" w:eastAsia="方正小标宋_GBK" w:cs="方正小标宋_GBK"/>
          <w:b/>
          <w:bCs/>
          <w:color w:val="000000"/>
          <w:sz w:val="32"/>
          <w:szCs w:val="32"/>
        </w:rPr>
        <w:t>项目</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轨道2号线</w:t>
      </w:r>
      <w:r>
        <w:rPr>
          <w:rFonts w:hint="eastAsia" w:asciiTheme="minorEastAsia" w:hAnsiTheme="minorEastAsia" w:cstheme="minorEastAsia"/>
          <w:color w:val="000000"/>
          <w:sz w:val="24"/>
          <w:szCs w:val="24"/>
          <w:lang w:eastAsia="zh-CN"/>
        </w:rPr>
        <w:t>轨行区、沟渠池井</w:t>
      </w:r>
      <w:r>
        <w:rPr>
          <w:rFonts w:hint="eastAsia" w:asciiTheme="minorEastAsia" w:hAnsiTheme="minorEastAsia" w:cstheme="minorEastAsia"/>
          <w:color w:val="000000"/>
          <w:sz w:val="24"/>
          <w:szCs w:val="24"/>
        </w:rPr>
        <w:t>清掏</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及</w:t>
      </w:r>
      <w:r>
        <w:rPr>
          <w:rFonts w:hint="eastAsia" w:asciiTheme="minorEastAsia" w:hAnsiTheme="minorEastAsia" w:cstheme="minorEastAsia"/>
          <w:color w:val="000000"/>
          <w:sz w:val="24"/>
          <w:szCs w:val="24"/>
          <w:lang w:eastAsia="zh-CN"/>
        </w:rPr>
        <w:t>抽排</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轨道2号线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spacing w:line="5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spacing w:line="5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2号线 24 座车站较场口站至大江站所属车站、变电所包括但不限于：污水池、生化池清掏；未接入市政管网的生化池临时抽排；集水坑清掏；车站泵房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沼气浓度，乙方在施工中应加强通风、防毒，防止人员中毒，按时、按量、按要求完成清掏、疏通、检查等工作。</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000000"/>
          <w:sz w:val="24"/>
          <w:szCs w:val="24"/>
          <w:highlight w:val="none"/>
        </w:rPr>
      </w:pPr>
    </w:p>
    <w:p>
      <w:pPr>
        <w:spacing w:line="560" w:lineRule="exact"/>
        <w:ind w:firstLine="480" w:firstLineChars="200"/>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val="en-US" w:eastAsia="zh-CN"/>
        </w:rPr>
        <w:t>体量及暂定频率</w:t>
      </w:r>
      <w:r>
        <w:rPr>
          <w:rFonts w:hint="eastAsia" w:asciiTheme="minorEastAsia" w:hAnsiTheme="minorEastAsia" w:cstheme="minorEastAsia"/>
          <w:color w:val="000000"/>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附件3上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b/>
          <w:bCs/>
          <w:color w:val="000000"/>
          <w:sz w:val="28"/>
        </w:rPr>
      </w:pPr>
      <w:r>
        <w:rPr>
          <w:rFonts w:hint="eastAsia"/>
          <w:b/>
          <w:bCs/>
          <w:color w:val="000000"/>
          <w:sz w:val="28"/>
          <w:lang w:val="en-US" w:eastAsia="zh-CN"/>
        </w:rPr>
        <w:t xml:space="preserve">第二章 </w:t>
      </w:r>
      <w:r>
        <w:rPr>
          <w:b/>
          <w:bCs/>
          <w:color w:val="000000"/>
          <w:sz w:val="28"/>
        </w:rPr>
        <w:t>服务事项及要求</w:t>
      </w:r>
    </w:p>
    <w:p>
      <w:pPr>
        <w:spacing w:line="399" w:lineRule="exact"/>
        <w:ind w:firstLine="760"/>
        <w:rPr>
          <w:color w:val="000000"/>
          <w:sz w:val="26"/>
        </w:rPr>
      </w:pP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第六章合同期限</w:t>
      </w:r>
    </w:p>
    <w:p>
      <w:pPr>
        <w:numPr>
          <w:ilvl w:val="0"/>
          <w:numId w:val="5"/>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620"/>
        <w:rPr>
          <w:rFonts w:hint="eastAsia"/>
          <w:color w:val="000000"/>
          <w:sz w:val="24"/>
        </w:rPr>
      </w:pPr>
    </w:p>
    <w:p>
      <w:pPr>
        <w:spacing w:line="397" w:lineRule="exact"/>
        <w:ind w:firstLine="62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color w:val="000000"/>
          <w:sz w:val="24"/>
        </w:rPr>
      </w:pPr>
      <w:r>
        <w:rPr>
          <w:rFonts w:hint="eastAsia"/>
          <w:color w:val="000000"/>
          <w:sz w:val="24"/>
        </w:rPr>
        <w:t>附件</w:t>
      </w:r>
      <w:r>
        <w:rPr>
          <w:rFonts w:hint="eastAsia"/>
          <w:color w:val="000000"/>
          <w:sz w:val="24"/>
          <w:lang w:val="en-US" w:eastAsia="zh-CN"/>
        </w:rPr>
        <w:t>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eastAsia="仿宋" w:cs="宋体"/>
                <w:b/>
                <w:sz w:val="18"/>
                <w:szCs w:val="18"/>
                <w:highlight w:val="none"/>
                <w:lang w:val="en-US" w:eastAsia="zh-CN"/>
              </w:rPr>
              <w:t>序号</w:t>
            </w:r>
          </w:p>
        </w:tc>
        <w:tc>
          <w:tcPr>
            <w:tcW w:w="15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b/>
                <w:sz w:val="18"/>
                <w:szCs w:val="18"/>
                <w:highlight w:val="none"/>
                <w:lang w:val="en-US" w:eastAsia="zh-CN"/>
              </w:rPr>
            </w:pPr>
            <w:r>
              <w:rPr>
                <w:rFonts w:hint="eastAsia" w:ascii="宋体" w:hAnsi="宋体" w:cs="宋体"/>
                <w:b/>
                <w:sz w:val="18"/>
                <w:szCs w:val="18"/>
                <w:highlight w:val="none"/>
                <w:lang w:val="en-US" w:eastAsia="zh-CN"/>
              </w:rPr>
              <w:t>不含税单价</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含税总价（元）</w:t>
            </w:r>
          </w:p>
        </w:tc>
        <w:tc>
          <w:tcPr>
            <w:tcW w:w="152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（元/</w:t>
            </w:r>
            <w:r>
              <w:rPr>
                <w:rFonts w:hint="default" w:ascii="宋体" w:hAnsi="宋体" w:cs="宋体"/>
                <w:b/>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spacing w:line="397" w:lineRule="exact"/>
        <w:rPr>
          <w:color w:val="000000"/>
          <w:sz w:val="24"/>
        </w:rPr>
      </w:pPr>
    </w:p>
    <w:p>
      <w:pPr>
        <w:pStyle w:val="2"/>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747EB"/>
    <w:rsid w:val="00680497"/>
    <w:rsid w:val="006A1EFD"/>
    <w:rsid w:val="006B0349"/>
    <w:rsid w:val="006B61FD"/>
    <w:rsid w:val="006C1B36"/>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82F"/>
    <w:rsid w:val="009C20A9"/>
    <w:rsid w:val="009C2110"/>
    <w:rsid w:val="009E079C"/>
    <w:rsid w:val="009E7004"/>
    <w:rsid w:val="00A219C5"/>
    <w:rsid w:val="00A46464"/>
    <w:rsid w:val="00A704DC"/>
    <w:rsid w:val="00A76E61"/>
    <w:rsid w:val="00AC6057"/>
    <w:rsid w:val="00AE1EC1"/>
    <w:rsid w:val="00AE2DE8"/>
    <w:rsid w:val="00B135C8"/>
    <w:rsid w:val="00B33701"/>
    <w:rsid w:val="00B528DB"/>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A794F"/>
    <w:rsid w:val="00DE10AB"/>
    <w:rsid w:val="00E16F1E"/>
    <w:rsid w:val="00E2048E"/>
    <w:rsid w:val="00E245CA"/>
    <w:rsid w:val="00E36596"/>
    <w:rsid w:val="00E37EEA"/>
    <w:rsid w:val="00E42192"/>
    <w:rsid w:val="00E74126"/>
    <w:rsid w:val="00EA333E"/>
    <w:rsid w:val="00EC648F"/>
    <w:rsid w:val="00EE235A"/>
    <w:rsid w:val="00F016C9"/>
    <w:rsid w:val="00F50CDF"/>
    <w:rsid w:val="00F711E0"/>
    <w:rsid w:val="00F76B58"/>
    <w:rsid w:val="00F80689"/>
    <w:rsid w:val="00F87B63"/>
    <w:rsid w:val="00FB184A"/>
    <w:rsid w:val="00FB36F3"/>
    <w:rsid w:val="00FD620F"/>
    <w:rsid w:val="00FE5412"/>
    <w:rsid w:val="015B6D94"/>
    <w:rsid w:val="01C532E9"/>
    <w:rsid w:val="02DF57A3"/>
    <w:rsid w:val="02E470A8"/>
    <w:rsid w:val="041A320C"/>
    <w:rsid w:val="05461A2A"/>
    <w:rsid w:val="06EA6F3C"/>
    <w:rsid w:val="072B545A"/>
    <w:rsid w:val="08566507"/>
    <w:rsid w:val="08A059D4"/>
    <w:rsid w:val="0A3D4649"/>
    <w:rsid w:val="0BC916A9"/>
    <w:rsid w:val="0C5823BF"/>
    <w:rsid w:val="0E4B0190"/>
    <w:rsid w:val="0F44530B"/>
    <w:rsid w:val="10000EDA"/>
    <w:rsid w:val="12DD20EA"/>
    <w:rsid w:val="13483619"/>
    <w:rsid w:val="13843077"/>
    <w:rsid w:val="14292E70"/>
    <w:rsid w:val="145D29CB"/>
    <w:rsid w:val="14935774"/>
    <w:rsid w:val="16FE6BA3"/>
    <w:rsid w:val="17391CF9"/>
    <w:rsid w:val="1789285E"/>
    <w:rsid w:val="17BE6435"/>
    <w:rsid w:val="17C17277"/>
    <w:rsid w:val="17DB3084"/>
    <w:rsid w:val="19BC6F4C"/>
    <w:rsid w:val="1A0F1210"/>
    <w:rsid w:val="1A3E0861"/>
    <w:rsid w:val="1B4A39D7"/>
    <w:rsid w:val="1BEE57A1"/>
    <w:rsid w:val="1C2D6331"/>
    <w:rsid w:val="1DA62689"/>
    <w:rsid w:val="1EDA17E8"/>
    <w:rsid w:val="1EE2244B"/>
    <w:rsid w:val="1EEE6D0E"/>
    <w:rsid w:val="1F430598"/>
    <w:rsid w:val="1F85103B"/>
    <w:rsid w:val="1FF70178"/>
    <w:rsid w:val="202820DF"/>
    <w:rsid w:val="230460E0"/>
    <w:rsid w:val="23706277"/>
    <w:rsid w:val="240A1E8A"/>
    <w:rsid w:val="245F009A"/>
    <w:rsid w:val="246758CC"/>
    <w:rsid w:val="247D50F0"/>
    <w:rsid w:val="265E4AAD"/>
    <w:rsid w:val="29001E4B"/>
    <w:rsid w:val="2A076ABF"/>
    <w:rsid w:val="2A551DFF"/>
    <w:rsid w:val="2B116641"/>
    <w:rsid w:val="2B8265B4"/>
    <w:rsid w:val="2BE23A8A"/>
    <w:rsid w:val="2D621327"/>
    <w:rsid w:val="2D880661"/>
    <w:rsid w:val="2DF23368"/>
    <w:rsid w:val="2F894BD6"/>
    <w:rsid w:val="2F971030"/>
    <w:rsid w:val="322D6606"/>
    <w:rsid w:val="32F6606D"/>
    <w:rsid w:val="33584D17"/>
    <w:rsid w:val="34277A89"/>
    <w:rsid w:val="362D13B0"/>
    <w:rsid w:val="36F86858"/>
    <w:rsid w:val="3845787B"/>
    <w:rsid w:val="3A1F234D"/>
    <w:rsid w:val="3A8C79E3"/>
    <w:rsid w:val="3BD74C8E"/>
    <w:rsid w:val="3BFB3DD8"/>
    <w:rsid w:val="3CF9616C"/>
    <w:rsid w:val="3DF37D79"/>
    <w:rsid w:val="3E032EB7"/>
    <w:rsid w:val="3E2D64A7"/>
    <w:rsid w:val="3E71651A"/>
    <w:rsid w:val="3ED23E32"/>
    <w:rsid w:val="417F17B2"/>
    <w:rsid w:val="42805130"/>
    <w:rsid w:val="433724B6"/>
    <w:rsid w:val="44BE568E"/>
    <w:rsid w:val="4508235C"/>
    <w:rsid w:val="4573666B"/>
    <w:rsid w:val="45C421F4"/>
    <w:rsid w:val="46004DE1"/>
    <w:rsid w:val="46265402"/>
    <w:rsid w:val="471A1242"/>
    <w:rsid w:val="49E113CD"/>
    <w:rsid w:val="4B6C4CC7"/>
    <w:rsid w:val="4CFD651E"/>
    <w:rsid w:val="4D642F15"/>
    <w:rsid w:val="4D7A29D4"/>
    <w:rsid w:val="4EC03ED7"/>
    <w:rsid w:val="50CF6052"/>
    <w:rsid w:val="51204589"/>
    <w:rsid w:val="517A638F"/>
    <w:rsid w:val="52E44704"/>
    <w:rsid w:val="5379604F"/>
    <w:rsid w:val="53FC3DBB"/>
    <w:rsid w:val="54515AB5"/>
    <w:rsid w:val="55265EE8"/>
    <w:rsid w:val="561759A6"/>
    <w:rsid w:val="57551807"/>
    <w:rsid w:val="578E6816"/>
    <w:rsid w:val="58615BB3"/>
    <w:rsid w:val="58722AC6"/>
    <w:rsid w:val="588E2720"/>
    <w:rsid w:val="58A0006A"/>
    <w:rsid w:val="59480B21"/>
    <w:rsid w:val="59C474EF"/>
    <w:rsid w:val="5B1C7507"/>
    <w:rsid w:val="5C2A4CC2"/>
    <w:rsid w:val="5CD252D1"/>
    <w:rsid w:val="5D221242"/>
    <w:rsid w:val="5DC93865"/>
    <w:rsid w:val="5F4D2B10"/>
    <w:rsid w:val="5FCC24AC"/>
    <w:rsid w:val="60E530F9"/>
    <w:rsid w:val="614A2CE1"/>
    <w:rsid w:val="61771F9D"/>
    <w:rsid w:val="617921AE"/>
    <w:rsid w:val="63B70D7D"/>
    <w:rsid w:val="648275DD"/>
    <w:rsid w:val="649E1F3D"/>
    <w:rsid w:val="65030AD7"/>
    <w:rsid w:val="661029C7"/>
    <w:rsid w:val="678D7C38"/>
    <w:rsid w:val="6A242EE4"/>
    <w:rsid w:val="6A254237"/>
    <w:rsid w:val="6A771266"/>
    <w:rsid w:val="6AA70ABD"/>
    <w:rsid w:val="6AED1528"/>
    <w:rsid w:val="6B2F1B41"/>
    <w:rsid w:val="6B40549D"/>
    <w:rsid w:val="6F452166"/>
    <w:rsid w:val="701D0187"/>
    <w:rsid w:val="70651B61"/>
    <w:rsid w:val="71436346"/>
    <w:rsid w:val="73CA0659"/>
    <w:rsid w:val="74C432FA"/>
    <w:rsid w:val="75397D84"/>
    <w:rsid w:val="75E23F25"/>
    <w:rsid w:val="75E250B9"/>
    <w:rsid w:val="76774D15"/>
    <w:rsid w:val="773F4EBA"/>
    <w:rsid w:val="77E872FF"/>
    <w:rsid w:val="79352A18"/>
    <w:rsid w:val="79424F10"/>
    <w:rsid w:val="796E5F2A"/>
    <w:rsid w:val="7AD954E3"/>
    <w:rsid w:val="7B4E79AB"/>
    <w:rsid w:val="7C030BAC"/>
    <w:rsid w:val="7CCD4D16"/>
    <w:rsid w:val="7CEB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font31"/>
    <w:basedOn w:val="11"/>
    <w:qFormat/>
    <w:uiPriority w:val="0"/>
    <w:rPr>
      <w:rFonts w:hint="eastAsia" w:ascii="宋体" w:hAnsi="宋体" w:eastAsia="宋体" w:cs="宋体"/>
      <w:b/>
      <w:color w:val="000000"/>
      <w:sz w:val="18"/>
      <w:szCs w:val="18"/>
      <w:u w:val="none"/>
    </w:rPr>
  </w:style>
  <w:style w:type="character" w:customStyle="1" w:styleId="14">
    <w:name w:val="font1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1260</Words>
  <Characters>7182</Characters>
  <Lines>59</Lines>
  <Paragraphs>16</Paragraphs>
  <TotalTime>25</TotalTime>
  <ScaleCrop>false</ScaleCrop>
  <LinksUpToDate>false</LinksUpToDate>
  <CharactersWithSpaces>8426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丫雯</cp:lastModifiedBy>
  <dcterms:modified xsi:type="dcterms:W3CDTF">2021-12-16T04:24:14Z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1146097076_btnclosed</vt:lpwstr>
  </property>
  <property fmtid="{D5CDD505-2E9C-101B-9397-08002B2CF9AE}" pid="4" name="ICV">
    <vt:lpwstr>EB3DB4BA4C9B4F1EB8D273E89C9E94EF</vt:lpwstr>
  </property>
</Properties>
</file>